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BC1" w:rsidRDefault="003B32BD">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 xml:space="preserve">3GPP TSG RAN </w:t>
      </w:r>
      <w:r w:rsidR="004E4B5D">
        <w:rPr>
          <w:rFonts w:ascii="Arial" w:hAnsi="Arial" w:cs="Arial"/>
          <w:b/>
          <w:bCs/>
          <w:sz w:val="22"/>
          <w:szCs w:val="22"/>
          <w:lang w:eastAsia="ja-JP"/>
        </w:rPr>
        <w:t>M</w:t>
      </w:r>
      <w:r>
        <w:rPr>
          <w:rFonts w:ascii="Arial" w:hAnsi="Arial" w:cs="Arial"/>
          <w:b/>
          <w:bCs/>
          <w:sz w:val="22"/>
          <w:szCs w:val="22"/>
          <w:lang w:eastAsia="ja-JP"/>
        </w:rPr>
        <w:t>eeting #</w:t>
      </w:r>
      <w:r>
        <w:rPr>
          <w:rFonts w:ascii="Arial" w:hAnsi="Arial" w:cs="Arial" w:hint="eastAsia"/>
          <w:b/>
          <w:bCs/>
          <w:sz w:val="22"/>
          <w:szCs w:val="22"/>
        </w:rPr>
        <w:t>10</w:t>
      </w:r>
      <w:r>
        <w:rPr>
          <w:rFonts w:ascii="Arial" w:hAnsi="Arial" w:cs="Arial"/>
          <w:b/>
          <w:bCs/>
          <w:sz w:val="22"/>
          <w:szCs w:val="22"/>
        </w:rPr>
        <w:t>6</w:t>
      </w:r>
      <w:r>
        <w:rPr>
          <w:rFonts w:ascii="Arial" w:hAnsi="Arial" w:cs="Arial"/>
          <w:b/>
          <w:bCs/>
          <w:sz w:val="22"/>
          <w:szCs w:val="22"/>
          <w:lang w:eastAsia="ja-JP"/>
        </w:rPr>
        <w:tab/>
        <w:t xml:space="preserve">                                          </w:t>
      </w:r>
      <w:r>
        <w:rPr>
          <w:rFonts w:ascii="Arial" w:hAnsi="Arial" w:cs="Arial" w:hint="eastAsia"/>
          <w:b/>
          <w:bCs/>
          <w:sz w:val="22"/>
          <w:szCs w:val="22"/>
          <w:lang w:eastAsia="ja-JP"/>
        </w:rPr>
        <w:t>RP-24315</w:t>
      </w:r>
      <w:r>
        <w:rPr>
          <w:rFonts w:ascii="Arial" w:hAnsi="Arial" w:cs="Arial" w:hint="eastAsia"/>
          <w:b/>
          <w:bCs/>
          <w:sz w:val="22"/>
          <w:szCs w:val="22"/>
        </w:rPr>
        <w:t>5</w:t>
      </w:r>
      <w:r>
        <w:rPr>
          <w:rFonts w:ascii="Arial" w:hAnsi="Arial" w:cs="Arial"/>
          <w:b/>
          <w:bCs/>
          <w:sz w:val="22"/>
          <w:szCs w:val="22"/>
          <w:lang w:eastAsia="ja-JP"/>
        </w:rPr>
        <w:tab/>
      </w:r>
    </w:p>
    <w:p w:rsidR="00A05BC1" w:rsidRDefault="003B32BD">
      <w:pPr>
        <w:pStyle w:val="Arial1101987050"/>
        <w:spacing w:before="120" w:after="120"/>
      </w:pPr>
      <w:r>
        <w:t>Madrid, Spain, Dec</w:t>
      </w:r>
      <w:r w:rsidR="004E4B5D">
        <w:t>ember</w:t>
      </w:r>
      <w:r>
        <w:t xml:space="preserve"> 9-12, 2024</w:t>
      </w:r>
    </w:p>
    <w:p w:rsidR="00A05BC1" w:rsidRDefault="00A05BC1">
      <w:pPr>
        <w:tabs>
          <w:tab w:val="center" w:pos="4536"/>
          <w:tab w:val="right" w:pos="9072"/>
        </w:tabs>
        <w:spacing w:before="120" w:afterLines="0" w:after="0" w:line="260" w:lineRule="auto"/>
        <w:rPr>
          <w:rFonts w:ascii="Arial" w:hAnsi="Arial" w:cs="Arial"/>
          <w:b/>
          <w:bCs/>
          <w:sz w:val="22"/>
          <w:szCs w:val="22"/>
        </w:rPr>
      </w:pPr>
    </w:p>
    <w:p w:rsidR="00A05BC1" w:rsidRDefault="003B32BD">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Views on Ambient IOT en</w:t>
      </w:r>
      <w:bookmarkStart w:id="0" w:name="_GoBack"/>
      <w:bookmarkEnd w:id="0"/>
      <w:r>
        <w:rPr>
          <w:rFonts w:ascii="Arial" w:hAnsi="Arial" w:hint="eastAsia"/>
          <w:b/>
          <w:sz w:val="22"/>
          <w:szCs w:val="22"/>
        </w:rPr>
        <w:t>hancement in 5G-A Rel-20</w:t>
      </w:r>
    </w:p>
    <w:p w:rsidR="00A05BC1" w:rsidRDefault="003B32BD">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rsidR="00A05BC1" w:rsidRDefault="003B32BD">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15.2</w:t>
      </w:r>
    </w:p>
    <w:p w:rsidR="00A05BC1" w:rsidRDefault="003B32BD">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A05BC1" w:rsidRDefault="003B32BD">
      <w:pPr>
        <w:pStyle w:val="1"/>
        <w:spacing w:before="120" w:after="120"/>
        <w:ind w:left="0"/>
        <w:rPr>
          <w:rFonts w:eastAsia="宋体"/>
        </w:rPr>
      </w:pPr>
      <w:r>
        <w:rPr>
          <w:rFonts w:eastAsia="宋体" w:hint="eastAsia"/>
        </w:rPr>
        <w:t>Introduction</w:t>
      </w:r>
    </w:p>
    <w:p w:rsidR="00A05BC1" w:rsidRDefault="003B32BD">
      <w:pPr>
        <w:pStyle w:val="af0"/>
        <w:spacing w:before="120" w:beforeAutospacing="0" w:after="120" w:afterAutospacing="0" w:line="315" w:lineRule="atLeast"/>
        <w:jc w:val="both"/>
        <w:rPr>
          <w:color w:val="000000"/>
          <w:sz w:val="20"/>
        </w:rPr>
      </w:pPr>
      <w:r>
        <w:rPr>
          <w:color w:val="000000"/>
          <w:sz w:val="20"/>
        </w:rPr>
        <w:t>In</w:t>
      </w:r>
      <w:r>
        <w:rPr>
          <w:rFonts w:hint="eastAsia"/>
          <w:color w:val="000000"/>
          <w:sz w:val="20"/>
        </w:rPr>
        <w:t xml:space="preserve"> RAN#102,</w:t>
      </w:r>
      <w:r>
        <w:rPr>
          <w:color w:val="000000"/>
          <w:sz w:val="20"/>
        </w:rPr>
        <w:t xml:space="preserve"> R19</w:t>
      </w:r>
      <w:r>
        <w:rPr>
          <w:rFonts w:hint="eastAsia"/>
          <w:color w:val="000000"/>
          <w:sz w:val="20"/>
        </w:rPr>
        <w:t xml:space="preserve"> Ambient IoT(A-IoT) SID was approved in [1]. The comprehensive study of A-IoT in RAN WGs has been completed to support the Rel-19 A-IoT with target scenario, topology, traffic type and device type summarized in Table 1[2].</w:t>
      </w:r>
    </w:p>
    <w:p w:rsidR="00A05BC1" w:rsidRDefault="003B32BD">
      <w:pPr>
        <w:pStyle w:val="af0"/>
        <w:spacing w:before="120" w:beforeAutospacing="0" w:after="120" w:afterAutospacing="0" w:line="315" w:lineRule="atLeast"/>
        <w:jc w:val="center"/>
        <w:rPr>
          <w:color w:val="000000"/>
          <w:sz w:val="20"/>
        </w:rPr>
      </w:pPr>
      <w:r>
        <w:rPr>
          <w:rFonts w:hint="eastAsia"/>
          <w:color w:val="000000"/>
          <w:sz w:val="20"/>
        </w:rPr>
        <w:t>Table 1 Summary of Rel-19 A-IoT</w:t>
      </w:r>
    </w:p>
    <w:tbl>
      <w:tblPr>
        <w:tblStyle w:val="af3"/>
        <w:tblW w:w="0" w:type="auto"/>
        <w:tblLook w:val="04A0" w:firstRow="1" w:lastRow="0" w:firstColumn="1" w:lastColumn="0" w:noHBand="0" w:noVBand="1"/>
      </w:tblPr>
      <w:tblGrid>
        <w:gridCol w:w="1627"/>
        <w:gridCol w:w="8023"/>
      </w:tblGrid>
      <w:tr w:rsidR="00A05BC1">
        <w:tc>
          <w:tcPr>
            <w:tcW w:w="1646" w:type="dxa"/>
          </w:tcPr>
          <w:p w:rsidR="00A05BC1" w:rsidRDefault="003B32BD">
            <w:pPr>
              <w:pStyle w:val="af0"/>
              <w:spacing w:before="120" w:beforeAutospacing="0" w:after="120" w:afterAutospacing="0" w:line="315" w:lineRule="atLeast"/>
              <w:rPr>
                <w:color w:val="000000"/>
                <w:sz w:val="20"/>
              </w:rPr>
            </w:pPr>
            <w:r>
              <w:rPr>
                <w:rFonts w:hint="eastAsia"/>
                <w:color w:val="000000"/>
                <w:sz w:val="20"/>
              </w:rPr>
              <w:t>S</w:t>
            </w:r>
            <w:r>
              <w:rPr>
                <w:rFonts w:hint="eastAsia"/>
                <w:color w:val="000000"/>
                <w:sz w:val="20"/>
              </w:rPr>
              <w:t>cenario</w:t>
            </w:r>
          </w:p>
        </w:tc>
        <w:tc>
          <w:tcPr>
            <w:tcW w:w="8230" w:type="dxa"/>
          </w:tcPr>
          <w:p w:rsidR="00A05BC1" w:rsidRDefault="003B32BD">
            <w:pPr>
              <w:pStyle w:val="af0"/>
              <w:spacing w:before="120" w:beforeAutospacing="0" w:after="120" w:afterAutospacing="0" w:line="315" w:lineRule="atLeast"/>
              <w:rPr>
                <w:color w:val="000000"/>
                <w:sz w:val="20"/>
              </w:rPr>
            </w:pPr>
            <w:r>
              <w:rPr>
                <w:rFonts w:hint="eastAsia"/>
                <w:color w:val="000000"/>
                <w:sz w:val="20"/>
              </w:rPr>
              <w:t xml:space="preserve">Indoor scenarios, with maximum coverage range of 10-50 m </w:t>
            </w:r>
          </w:p>
        </w:tc>
      </w:tr>
      <w:tr w:rsidR="00A05BC1">
        <w:tc>
          <w:tcPr>
            <w:tcW w:w="1646" w:type="dxa"/>
          </w:tcPr>
          <w:p w:rsidR="00A05BC1" w:rsidRDefault="003B32BD">
            <w:pPr>
              <w:pStyle w:val="af0"/>
              <w:spacing w:before="120" w:beforeAutospacing="0" w:after="120" w:afterAutospacing="0" w:line="315" w:lineRule="atLeast"/>
              <w:rPr>
                <w:color w:val="000000"/>
                <w:sz w:val="20"/>
              </w:rPr>
            </w:pPr>
            <w:r>
              <w:rPr>
                <w:rFonts w:hint="eastAsia"/>
                <w:color w:val="000000"/>
                <w:sz w:val="20"/>
              </w:rPr>
              <w:t>Topology</w:t>
            </w:r>
          </w:p>
        </w:tc>
        <w:tc>
          <w:tcPr>
            <w:tcW w:w="8230" w:type="dxa"/>
          </w:tcPr>
          <w:p w:rsidR="00A05BC1" w:rsidRDefault="003B32BD">
            <w:pPr>
              <w:pStyle w:val="af0"/>
              <w:spacing w:before="120" w:beforeAutospacing="0" w:after="120" w:afterAutospacing="0" w:line="315" w:lineRule="atLeast"/>
              <w:rPr>
                <w:color w:val="000000"/>
                <w:sz w:val="20"/>
              </w:rPr>
            </w:pPr>
            <w:r>
              <w:rPr>
                <w:rFonts w:hint="eastAsia"/>
                <w:color w:val="000000"/>
                <w:sz w:val="20"/>
              </w:rPr>
              <w:t xml:space="preserve">D1T1(BS&lt;-&gt; Ambient IoT device); </w:t>
            </w:r>
          </w:p>
          <w:p w:rsidR="00A05BC1" w:rsidRDefault="003B32BD">
            <w:pPr>
              <w:pStyle w:val="af0"/>
              <w:spacing w:before="120" w:beforeAutospacing="0" w:after="120" w:afterAutospacing="0" w:line="315" w:lineRule="atLeast"/>
              <w:rPr>
                <w:color w:val="000000"/>
                <w:sz w:val="20"/>
              </w:rPr>
            </w:pPr>
            <w:r>
              <w:rPr>
                <w:rFonts w:hint="eastAsia"/>
                <w:color w:val="000000"/>
                <w:sz w:val="20"/>
              </w:rPr>
              <w:t>D2T2(BS &lt;-&gt; intermediate UE&lt;-&gt; Ambient IoT device)</w:t>
            </w:r>
          </w:p>
        </w:tc>
      </w:tr>
      <w:tr w:rsidR="00A05BC1">
        <w:tc>
          <w:tcPr>
            <w:tcW w:w="1646" w:type="dxa"/>
          </w:tcPr>
          <w:p w:rsidR="00A05BC1" w:rsidRDefault="003B32BD">
            <w:pPr>
              <w:pStyle w:val="af0"/>
              <w:spacing w:before="120" w:beforeAutospacing="0" w:after="120" w:afterAutospacing="0" w:line="315" w:lineRule="atLeast"/>
              <w:rPr>
                <w:color w:val="000000"/>
                <w:sz w:val="20"/>
              </w:rPr>
            </w:pPr>
            <w:r>
              <w:rPr>
                <w:color w:val="000000"/>
                <w:sz w:val="20"/>
              </w:rPr>
              <w:t>Traffic type</w:t>
            </w:r>
          </w:p>
        </w:tc>
        <w:tc>
          <w:tcPr>
            <w:tcW w:w="8230" w:type="dxa"/>
          </w:tcPr>
          <w:p w:rsidR="00A05BC1" w:rsidRDefault="003B32BD">
            <w:pPr>
              <w:pStyle w:val="af0"/>
              <w:spacing w:before="120" w:beforeAutospacing="0" w:after="120" w:afterAutospacing="0" w:line="315" w:lineRule="atLeast"/>
              <w:rPr>
                <w:color w:val="000000"/>
                <w:sz w:val="20"/>
              </w:rPr>
            </w:pPr>
            <w:r>
              <w:rPr>
                <w:rFonts w:hint="eastAsia"/>
                <w:color w:val="000000"/>
                <w:sz w:val="20"/>
                <w:lang w:eastAsia="ja-JP"/>
              </w:rPr>
              <w:t>DO-DTT, DT, with focus on rUC1 (indoor inventory) and rUC4 (indoor command)</w:t>
            </w:r>
          </w:p>
        </w:tc>
      </w:tr>
      <w:tr w:rsidR="00A05BC1">
        <w:tc>
          <w:tcPr>
            <w:tcW w:w="1646" w:type="dxa"/>
            <w:vMerge w:val="restart"/>
            <w:vAlign w:val="center"/>
          </w:tcPr>
          <w:p w:rsidR="00A05BC1" w:rsidRDefault="003B32BD">
            <w:pPr>
              <w:pStyle w:val="af0"/>
              <w:spacing w:before="120" w:beforeAutospacing="0" w:after="120" w:afterAutospacing="0" w:line="315" w:lineRule="atLeast"/>
              <w:jc w:val="both"/>
              <w:rPr>
                <w:color w:val="000000"/>
                <w:sz w:val="20"/>
              </w:rPr>
            </w:pPr>
            <w:r>
              <w:rPr>
                <w:rFonts w:hint="eastAsia"/>
                <w:color w:val="000000"/>
                <w:sz w:val="20"/>
              </w:rPr>
              <w:t>Device type</w:t>
            </w:r>
          </w:p>
        </w:tc>
        <w:tc>
          <w:tcPr>
            <w:tcW w:w="8230" w:type="dxa"/>
          </w:tcPr>
          <w:p w:rsidR="00A05BC1" w:rsidRDefault="003B32BD">
            <w:pPr>
              <w:pStyle w:val="af0"/>
              <w:spacing w:before="120" w:beforeAutospacing="0" w:after="120" w:afterAutospacing="0" w:line="315" w:lineRule="atLeast"/>
              <w:rPr>
                <w:color w:val="000000"/>
                <w:sz w:val="20"/>
              </w:rPr>
            </w:pPr>
            <w:r>
              <w:rPr>
                <w:rFonts w:hint="eastAsia"/>
                <w:color w:val="000000"/>
                <w:sz w:val="20"/>
              </w:rPr>
              <w:t>Device 1: ~1</w:t>
            </w:r>
            <w:r>
              <w:rPr>
                <w:color w:val="000000"/>
                <w:sz w:val="20"/>
              </w:rPr>
              <w:t xml:space="preserve"> µW peak power consumption, has energy storage</w:t>
            </w:r>
            <w:r>
              <w:rPr>
                <w:rFonts w:hint="eastAsia"/>
                <w:color w:val="000000"/>
                <w:sz w:val="20"/>
              </w:rPr>
              <w:t>,UL</w:t>
            </w:r>
            <w:r>
              <w:rPr>
                <w:color w:val="000000"/>
                <w:sz w:val="20"/>
              </w:rPr>
              <w:t xml:space="preserve"> tr</w:t>
            </w:r>
            <w:r>
              <w:rPr>
                <w:rFonts w:hint="eastAsia"/>
                <w:color w:val="000000"/>
                <w:sz w:val="20"/>
              </w:rPr>
              <w:t>ansmission is backscattered on a carrier wave provided externally.</w:t>
            </w:r>
          </w:p>
        </w:tc>
      </w:tr>
      <w:tr w:rsidR="00A05BC1">
        <w:tc>
          <w:tcPr>
            <w:tcW w:w="1646" w:type="dxa"/>
            <w:vMerge/>
          </w:tcPr>
          <w:p w:rsidR="00A05BC1" w:rsidRDefault="00A05BC1">
            <w:pPr>
              <w:pStyle w:val="af0"/>
              <w:spacing w:before="120" w:beforeAutospacing="0" w:after="120" w:afterAutospacing="0" w:line="315" w:lineRule="atLeast"/>
              <w:rPr>
                <w:color w:val="000000"/>
                <w:sz w:val="20"/>
              </w:rPr>
            </w:pPr>
          </w:p>
        </w:tc>
        <w:tc>
          <w:tcPr>
            <w:tcW w:w="8230" w:type="dxa"/>
          </w:tcPr>
          <w:p w:rsidR="00A05BC1" w:rsidRDefault="003B32BD">
            <w:pPr>
              <w:pStyle w:val="af0"/>
              <w:spacing w:before="120" w:beforeAutospacing="0" w:after="120" w:afterAutospacing="0" w:line="315" w:lineRule="atLeast"/>
              <w:rPr>
                <w:color w:val="000000"/>
                <w:sz w:val="20"/>
              </w:rPr>
            </w:pPr>
            <w:r>
              <w:rPr>
                <w:rFonts w:hint="eastAsia"/>
                <w:color w:val="000000"/>
                <w:sz w:val="20"/>
              </w:rPr>
              <w:t>Device 2a: a few hundred µW</w:t>
            </w:r>
            <w:r>
              <w:rPr>
                <w:color w:val="000000"/>
                <w:sz w:val="20"/>
              </w:rPr>
              <w:t xml:space="preserve"> peak power consumption, has energy storage, UL tr</w:t>
            </w:r>
            <w:r>
              <w:rPr>
                <w:rFonts w:hint="eastAsia"/>
                <w:color w:val="000000"/>
                <w:sz w:val="20"/>
              </w:rPr>
              <w:t>ansmission is backscattered on a c</w:t>
            </w:r>
            <w:r>
              <w:rPr>
                <w:rFonts w:hint="eastAsia"/>
                <w:color w:val="000000"/>
                <w:sz w:val="20"/>
              </w:rPr>
              <w:t>arrier wave provided externally.</w:t>
            </w:r>
          </w:p>
        </w:tc>
      </w:tr>
      <w:tr w:rsidR="00A05BC1">
        <w:tc>
          <w:tcPr>
            <w:tcW w:w="1646" w:type="dxa"/>
            <w:vMerge/>
          </w:tcPr>
          <w:p w:rsidR="00A05BC1" w:rsidRDefault="00A05BC1">
            <w:pPr>
              <w:pStyle w:val="af0"/>
              <w:spacing w:before="120" w:beforeAutospacing="0" w:after="120" w:afterAutospacing="0" w:line="315" w:lineRule="atLeast"/>
              <w:rPr>
                <w:color w:val="000000"/>
                <w:sz w:val="20"/>
              </w:rPr>
            </w:pPr>
          </w:p>
        </w:tc>
        <w:tc>
          <w:tcPr>
            <w:tcW w:w="8230" w:type="dxa"/>
          </w:tcPr>
          <w:p w:rsidR="00A05BC1" w:rsidRDefault="003B32BD">
            <w:pPr>
              <w:pStyle w:val="af0"/>
              <w:spacing w:before="120" w:beforeAutospacing="0" w:after="120" w:afterAutospacing="0" w:line="315" w:lineRule="atLeast"/>
              <w:rPr>
                <w:color w:val="000000"/>
                <w:sz w:val="20"/>
              </w:rPr>
            </w:pPr>
            <w:r>
              <w:rPr>
                <w:rFonts w:hint="eastAsia"/>
                <w:color w:val="000000"/>
                <w:sz w:val="20"/>
              </w:rPr>
              <w:t>Device 2b: a few hundred µW</w:t>
            </w:r>
            <w:r>
              <w:rPr>
                <w:color w:val="000000"/>
                <w:sz w:val="20"/>
              </w:rPr>
              <w:t xml:space="preserve"> peak power consumption, has energy storage, UL tr</w:t>
            </w:r>
            <w:r>
              <w:rPr>
                <w:rFonts w:hint="eastAsia"/>
                <w:color w:val="000000"/>
                <w:sz w:val="20"/>
              </w:rPr>
              <w:t>ansmission is generated internally by the device.</w:t>
            </w:r>
          </w:p>
        </w:tc>
      </w:tr>
    </w:tbl>
    <w:p w:rsidR="00A05BC1" w:rsidRDefault="003B32BD">
      <w:pPr>
        <w:pStyle w:val="af0"/>
        <w:spacing w:before="120" w:beforeAutospacing="0" w:after="120" w:afterAutospacing="0" w:line="315" w:lineRule="atLeast"/>
      </w:pPr>
      <w:r>
        <w:rPr>
          <w:rFonts w:hint="eastAsia"/>
          <w:color w:val="000000"/>
          <w:sz w:val="20"/>
        </w:rPr>
        <w:t xml:space="preserve">In this contribution, the potential enhancements for Rel-20 are discussed to further extend the use cases of A-IoT. </w:t>
      </w:r>
    </w:p>
    <w:p w:rsidR="00A05BC1" w:rsidRDefault="003B32BD">
      <w:pPr>
        <w:pStyle w:val="1"/>
        <w:spacing w:before="120" w:after="120"/>
        <w:ind w:left="0"/>
        <w:rPr>
          <w:rFonts w:eastAsia="宋体"/>
        </w:rPr>
      </w:pPr>
      <w:r>
        <w:rPr>
          <w:rFonts w:eastAsia="宋体" w:hint="eastAsia"/>
        </w:rPr>
        <w:t>Discussion about Rel-20 A-IoT</w:t>
      </w:r>
    </w:p>
    <w:p w:rsidR="00A05BC1" w:rsidRDefault="003B32BD">
      <w:pPr>
        <w:pStyle w:val="2"/>
        <w:spacing w:before="120" w:after="120" w:line="260" w:lineRule="auto"/>
        <w:ind w:left="0" w:right="210"/>
        <w:jc w:val="left"/>
      </w:pPr>
      <w:r>
        <w:rPr>
          <w:rFonts w:hint="eastAsia"/>
        </w:rPr>
        <w:t>Use case and scenarios</w:t>
      </w:r>
    </w:p>
    <w:p w:rsidR="00A05BC1" w:rsidRDefault="003B32BD">
      <w:pPr>
        <w:pStyle w:val="YJ-Proposal"/>
        <w:numPr>
          <w:ilvl w:val="0"/>
          <w:numId w:val="0"/>
        </w:numPr>
        <w:spacing w:before="120" w:after="120"/>
        <w:rPr>
          <w:b w:val="0"/>
          <w:bCs w:val="0"/>
          <w:i w:val="0"/>
          <w:iCs w:val="0"/>
          <w:lang w:val="en-US" w:eastAsia="zh-CN"/>
        </w:rPr>
      </w:pPr>
      <w:r>
        <w:rPr>
          <w:rFonts w:hint="eastAsia"/>
          <w:b w:val="0"/>
          <w:bCs w:val="0"/>
          <w:i w:val="0"/>
          <w:iCs w:val="0"/>
          <w:lang w:val="en-US" w:eastAsia="zh-CN"/>
        </w:rPr>
        <w:t>Based on the RAN study in TR38.848</w:t>
      </w:r>
      <w:r>
        <w:rPr>
          <w:b w:val="0"/>
          <w:bCs w:val="0"/>
          <w:i w:val="0"/>
          <w:iCs w:val="0"/>
          <w:lang w:val="en-US" w:eastAsia="zh-CN"/>
        </w:rPr>
        <w:t xml:space="preserve"> </w:t>
      </w:r>
      <w:r>
        <w:rPr>
          <w:rFonts w:hint="eastAsia"/>
          <w:b w:val="0"/>
          <w:bCs w:val="0"/>
          <w:i w:val="0"/>
          <w:iCs w:val="0"/>
          <w:lang w:val="en-US" w:eastAsia="zh-CN"/>
        </w:rPr>
        <w:t>[3], the following 8 representative use cases (rUC)</w:t>
      </w:r>
      <w:r>
        <w:rPr>
          <w:rFonts w:hint="eastAsia"/>
          <w:b w:val="0"/>
          <w:bCs w:val="0"/>
          <w:i w:val="0"/>
          <w:iCs w:val="0"/>
          <w:lang w:val="en-US" w:eastAsia="zh-CN"/>
        </w:rPr>
        <w:t xml:space="preserve"> of A-IoT are formulated. Furthermore, the mapping from SA1 use cases and traffic scenarios onto RAN rUCs has been captured in TR, which can be found in the Appendix of this contribution.</w:t>
      </w:r>
    </w:p>
    <w:p w:rsidR="00A05BC1" w:rsidRDefault="003B32BD">
      <w:pPr>
        <w:pStyle w:val="B1"/>
        <w:spacing w:before="120" w:after="120"/>
        <w:rPr>
          <w:sz w:val="20"/>
        </w:rPr>
      </w:pPr>
      <w:r>
        <w:rPr>
          <w:sz w:val="20"/>
        </w:rPr>
        <w:t>-</w:t>
      </w:r>
      <w:r>
        <w:rPr>
          <w:sz w:val="20"/>
        </w:rPr>
        <w:tab/>
        <w:t>rUC1: Indoor inventory</w:t>
      </w:r>
    </w:p>
    <w:p w:rsidR="00A05BC1" w:rsidRDefault="003B32BD">
      <w:pPr>
        <w:pStyle w:val="B1"/>
        <w:spacing w:before="120" w:after="120"/>
        <w:rPr>
          <w:sz w:val="20"/>
        </w:rPr>
      </w:pPr>
      <w:r>
        <w:rPr>
          <w:sz w:val="20"/>
        </w:rPr>
        <w:t>-</w:t>
      </w:r>
      <w:r>
        <w:rPr>
          <w:sz w:val="20"/>
        </w:rPr>
        <w:tab/>
        <w:t>rUC2: Indoor sensors</w:t>
      </w:r>
    </w:p>
    <w:p w:rsidR="00A05BC1" w:rsidRDefault="003B32BD">
      <w:pPr>
        <w:pStyle w:val="B1"/>
        <w:spacing w:before="120" w:after="120"/>
        <w:rPr>
          <w:sz w:val="20"/>
        </w:rPr>
      </w:pPr>
      <w:r>
        <w:rPr>
          <w:sz w:val="20"/>
        </w:rPr>
        <w:lastRenderedPageBreak/>
        <w:t>-</w:t>
      </w:r>
      <w:r>
        <w:rPr>
          <w:sz w:val="20"/>
        </w:rPr>
        <w:tab/>
        <w:t>rUC3: Indoor posit</w:t>
      </w:r>
      <w:r>
        <w:rPr>
          <w:sz w:val="20"/>
        </w:rPr>
        <w:t>ioning</w:t>
      </w:r>
    </w:p>
    <w:p w:rsidR="00A05BC1" w:rsidRDefault="003B32BD">
      <w:pPr>
        <w:pStyle w:val="B1"/>
        <w:spacing w:before="120" w:after="120"/>
        <w:rPr>
          <w:sz w:val="20"/>
        </w:rPr>
      </w:pPr>
      <w:r>
        <w:rPr>
          <w:sz w:val="20"/>
        </w:rPr>
        <w:t>-</w:t>
      </w:r>
      <w:r>
        <w:rPr>
          <w:sz w:val="20"/>
        </w:rPr>
        <w:tab/>
        <w:t>rUC4: Indoor command</w:t>
      </w:r>
    </w:p>
    <w:p w:rsidR="00A05BC1" w:rsidRDefault="003B32BD">
      <w:pPr>
        <w:pStyle w:val="B1"/>
        <w:spacing w:before="120" w:after="120"/>
        <w:rPr>
          <w:sz w:val="20"/>
        </w:rPr>
      </w:pPr>
      <w:r>
        <w:rPr>
          <w:sz w:val="20"/>
        </w:rPr>
        <w:t>-</w:t>
      </w:r>
      <w:r>
        <w:rPr>
          <w:sz w:val="20"/>
        </w:rPr>
        <w:tab/>
        <w:t>rUC5: Outdoor inventory</w:t>
      </w:r>
    </w:p>
    <w:p w:rsidR="00A05BC1" w:rsidRDefault="003B32BD">
      <w:pPr>
        <w:pStyle w:val="B1"/>
        <w:spacing w:before="120" w:after="120"/>
        <w:rPr>
          <w:sz w:val="20"/>
        </w:rPr>
      </w:pPr>
      <w:r>
        <w:rPr>
          <w:sz w:val="20"/>
        </w:rPr>
        <w:t>-</w:t>
      </w:r>
      <w:r>
        <w:rPr>
          <w:sz w:val="20"/>
        </w:rPr>
        <w:tab/>
        <w:t>rUC6: Outdoor sensors</w:t>
      </w:r>
    </w:p>
    <w:p w:rsidR="00A05BC1" w:rsidRDefault="003B32BD">
      <w:pPr>
        <w:pStyle w:val="B1"/>
        <w:spacing w:before="120" w:after="120"/>
        <w:rPr>
          <w:sz w:val="20"/>
        </w:rPr>
      </w:pPr>
      <w:r>
        <w:rPr>
          <w:sz w:val="20"/>
        </w:rPr>
        <w:t>-</w:t>
      </w:r>
      <w:r>
        <w:rPr>
          <w:sz w:val="20"/>
        </w:rPr>
        <w:tab/>
        <w:t>rUC7: Outdoor positioning</w:t>
      </w:r>
    </w:p>
    <w:p w:rsidR="00A05BC1" w:rsidRDefault="003B32BD">
      <w:pPr>
        <w:pStyle w:val="B1"/>
        <w:spacing w:before="120" w:after="120"/>
        <w:rPr>
          <w:sz w:val="20"/>
        </w:rPr>
      </w:pPr>
      <w:r>
        <w:rPr>
          <w:sz w:val="20"/>
        </w:rPr>
        <w:t>-</w:t>
      </w:r>
      <w:r>
        <w:rPr>
          <w:sz w:val="20"/>
        </w:rPr>
        <w:tab/>
        <w:t>rUC8: Outdoor command</w:t>
      </w:r>
    </w:p>
    <w:p w:rsidR="00A05BC1" w:rsidRDefault="003B32BD">
      <w:pPr>
        <w:pStyle w:val="YJ-Proposal"/>
        <w:numPr>
          <w:ilvl w:val="0"/>
          <w:numId w:val="0"/>
        </w:numPr>
        <w:spacing w:before="120" w:after="120"/>
        <w:jc w:val="both"/>
        <w:rPr>
          <w:b w:val="0"/>
          <w:bCs w:val="0"/>
          <w:i w:val="0"/>
          <w:iCs w:val="0"/>
          <w:lang w:val="en-US" w:eastAsia="zh-CN"/>
        </w:rPr>
      </w:pPr>
      <w:r>
        <w:rPr>
          <w:rFonts w:hint="eastAsia"/>
          <w:b w:val="0"/>
          <w:bCs w:val="0"/>
          <w:i w:val="0"/>
          <w:iCs w:val="0"/>
          <w:lang w:val="en-US" w:eastAsia="zh-CN"/>
        </w:rPr>
        <w:t xml:space="preserve">It can be observed that only a limited set of use cases has been studied in Rel-19, with focus on indoor inventory/command. </w:t>
      </w:r>
      <w:r>
        <w:rPr>
          <w:rFonts w:hint="eastAsia"/>
          <w:b w:val="0"/>
          <w:bCs w:val="0"/>
          <w:i w:val="0"/>
          <w:iCs w:val="0"/>
          <w:lang w:val="en-US" w:eastAsia="zh-CN"/>
        </w:rPr>
        <w:t>In Rel-20, to support the use cases such as smart grids, automated supply chain distribution, personal belongings finding, health care/monitoring, etc., the outdoor inventory/command/sensor/positioning should be considered.</w:t>
      </w:r>
    </w:p>
    <w:p w:rsidR="00A05BC1" w:rsidRDefault="003B32BD">
      <w:pPr>
        <w:pStyle w:val="YJ-Proposal"/>
        <w:numPr>
          <w:ilvl w:val="0"/>
          <w:numId w:val="0"/>
        </w:numPr>
        <w:spacing w:before="120" w:after="120"/>
        <w:jc w:val="both"/>
        <w:rPr>
          <w:b w:val="0"/>
          <w:bCs w:val="0"/>
          <w:i w:val="0"/>
          <w:iCs w:val="0"/>
          <w:lang w:val="en-US" w:eastAsia="zh-CN"/>
        </w:rPr>
      </w:pPr>
      <w:r>
        <w:rPr>
          <w:rFonts w:hint="eastAsia"/>
          <w:b w:val="0"/>
          <w:bCs w:val="0"/>
          <w:i w:val="0"/>
          <w:iCs w:val="0"/>
          <w:lang w:val="en-US" w:eastAsia="zh-CN"/>
        </w:rPr>
        <w:t>In addition to outdoor scenarios</w:t>
      </w:r>
      <w:r>
        <w:rPr>
          <w:rFonts w:hint="eastAsia"/>
          <w:b w:val="0"/>
          <w:bCs w:val="0"/>
          <w:i w:val="0"/>
          <w:iCs w:val="0"/>
          <w:lang w:val="en-US" w:eastAsia="zh-CN"/>
        </w:rPr>
        <w:t>, whether further enhancements on indoor use cases are needed or not depend on Rel-19 A-IoT WI scope, which can be further discussed after the Rel-19 WI objectives are clear.</w:t>
      </w:r>
    </w:p>
    <w:p w:rsidR="00A05BC1" w:rsidRDefault="003B32BD">
      <w:pPr>
        <w:pStyle w:val="YJ-Proposal"/>
        <w:numPr>
          <w:ilvl w:val="0"/>
          <w:numId w:val="7"/>
        </w:numPr>
        <w:spacing w:before="120" w:after="120"/>
        <w:jc w:val="both"/>
        <w:rPr>
          <w:rFonts w:ascii="Arial" w:hAnsi="Arial" w:cs="Arial"/>
        </w:rPr>
      </w:pPr>
      <w:r>
        <w:rPr>
          <w:rFonts w:hint="eastAsia"/>
          <w:lang w:val="en-US" w:eastAsia="zh-CN"/>
        </w:rPr>
        <w:t>Rel-20 A-IoT should support outdoor inventory/command/sensor/positioning. FFS enh</w:t>
      </w:r>
      <w:r>
        <w:rPr>
          <w:rFonts w:hint="eastAsia"/>
          <w:lang w:val="en-US" w:eastAsia="zh-CN"/>
        </w:rPr>
        <w:t>ancements on indoor scenarios.</w:t>
      </w:r>
    </w:p>
    <w:p w:rsidR="00A05BC1" w:rsidRDefault="003B32BD">
      <w:pPr>
        <w:pStyle w:val="2"/>
        <w:spacing w:before="120" w:after="120" w:line="260" w:lineRule="auto"/>
        <w:ind w:left="0" w:right="210"/>
        <w:jc w:val="left"/>
      </w:pPr>
      <w:r>
        <w:rPr>
          <w:rFonts w:hint="eastAsia"/>
        </w:rPr>
        <w:t>Device types</w:t>
      </w:r>
    </w:p>
    <w:p w:rsidR="00A05BC1" w:rsidRDefault="003B32BD">
      <w:pPr>
        <w:pStyle w:val="af9"/>
        <w:spacing w:before="120" w:after="120"/>
        <w:ind w:left="0"/>
        <w:rPr>
          <w:rFonts w:eastAsiaTheme="minorEastAsia"/>
          <w:sz w:val="20"/>
          <w:szCs w:val="20"/>
        </w:rPr>
      </w:pPr>
      <w:r>
        <w:rPr>
          <w:rFonts w:eastAsiaTheme="minorEastAsia" w:hint="eastAsia"/>
          <w:sz w:val="20"/>
          <w:szCs w:val="20"/>
        </w:rPr>
        <w:t>In Rel-19, even</w:t>
      </w:r>
      <w:r>
        <w:rPr>
          <w:rFonts w:eastAsiaTheme="minorEastAsia" w:hint="eastAsia"/>
          <w:sz w:val="20"/>
          <w:szCs w:val="20"/>
        </w:rPr>
        <w:t xml:space="preserve"> </w:t>
      </w:r>
      <w:r w:rsidR="004E4B5D">
        <w:rPr>
          <w:rFonts w:eastAsiaTheme="minorEastAsia"/>
          <w:sz w:val="20"/>
          <w:szCs w:val="20"/>
        </w:rPr>
        <w:t xml:space="preserve">though </w:t>
      </w:r>
      <w:r>
        <w:rPr>
          <w:rFonts w:eastAsiaTheme="minorEastAsia" w:hint="eastAsia"/>
          <w:sz w:val="20"/>
          <w:szCs w:val="20"/>
        </w:rPr>
        <w:t xml:space="preserve">three </w:t>
      </w:r>
      <w:r w:rsidR="004E4B5D">
        <w:rPr>
          <w:rFonts w:eastAsiaTheme="minorEastAsia" w:hint="eastAsia"/>
          <w:sz w:val="20"/>
          <w:szCs w:val="20"/>
        </w:rPr>
        <w:t>differen</w:t>
      </w:r>
      <w:r w:rsidR="004E4B5D">
        <w:rPr>
          <w:rFonts w:eastAsiaTheme="minorEastAsia"/>
          <w:sz w:val="20"/>
          <w:szCs w:val="20"/>
        </w:rPr>
        <w:t>t</w:t>
      </w:r>
      <w:r w:rsidR="004E4B5D">
        <w:rPr>
          <w:rFonts w:eastAsiaTheme="minorEastAsia" w:hint="eastAsia"/>
          <w:sz w:val="20"/>
          <w:szCs w:val="20"/>
        </w:rPr>
        <w:t xml:space="preserve"> </w:t>
      </w:r>
      <w:r>
        <w:rPr>
          <w:rFonts w:eastAsiaTheme="minorEastAsia" w:hint="eastAsia"/>
          <w:sz w:val="20"/>
          <w:szCs w:val="20"/>
        </w:rPr>
        <w:t>device types with different peak power consumption, complexities and capabilities have been studied, the design principle is a harmonized air interface design with minimized diffe</w:t>
      </w:r>
      <w:r>
        <w:rPr>
          <w:rFonts w:eastAsiaTheme="minorEastAsia" w:hint="eastAsia"/>
          <w:sz w:val="20"/>
          <w:szCs w:val="20"/>
        </w:rPr>
        <w:t>rences. Therefore, the market differentiation among the three device types</w:t>
      </w:r>
      <w:r w:rsidR="004E4B5D">
        <w:rPr>
          <w:rFonts w:eastAsiaTheme="minorEastAsia"/>
          <w:sz w:val="20"/>
          <w:szCs w:val="20"/>
        </w:rPr>
        <w:t xml:space="preserve"> in Rel-19</w:t>
      </w:r>
      <w:r>
        <w:rPr>
          <w:rFonts w:eastAsiaTheme="minorEastAsia" w:hint="eastAsia"/>
          <w:sz w:val="20"/>
          <w:szCs w:val="20"/>
        </w:rPr>
        <w:t xml:space="preserve"> is unclear. </w:t>
      </w:r>
    </w:p>
    <w:p w:rsidR="00A05BC1" w:rsidRDefault="003B32BD">
      <w:pPr>
        <w:pStyle w:val="YJ-Observation"/>
        <w:spacing w:before="120" w:after="120"/>
        <w:rPr>
          <w:lang w:val="en-US" w:eastAsia="zh-CN"/>
        </w:rPr>
      </w:pPr>
      <w:r>
        <w:rPr>
          <w:rFonts w:hint="eastAsia"/>
          <w:lang w:val="en-US" w:eastAsia="zh-CN"/>
        </w:rPr>
        <w:t>The Rel-19 A-IoT harmonized design is based on device 1/2a with RF-ED receivers.</w:t>
      </w:r>
    </w:p>
    <w:p w:rsidR="00A05BC1" w:rsidRDefault="003B32BD">
      <w:pPr>
        <w:pStyle w:val="af9"/>
        <w:spacing w:before="120" w:after="120"/>
        <w:ind w:left="0"/>
        <w:rPr>
          <w:rFonts w:eastAsiaTheme="minorEastAsia"/>
          <w:sz w:val="20"/>
          <w:szCs w:val="20"/>
        </w:rPr>
      </w:pPr>
      <w:r>
        <w:rPr>
          <w:rFonts w:eastAsiaTheme="minorEastAsia" w:hint="eastAsia"/>
          <w:sz w:val="20"/>
          <w:szCs w:val="20"/>
        </w:rPr>
        <w:t>Based on the device architectures captured in TR38.769, the device 1/2a are RF-ED recei</w:t>
      </w:r>
      <w:r>
        <w:rPr>
          <w:rFonts w:eastAsiaTheme="minorEastAsia" w:hint="eastAsia"/>
          <w:sz w:val="20"/>
          <w:szCs w:val="20"/>
        </w:rPr>
        <w:t>vers, which may be</w:t>
      </w:r>
      <w:r w:rsidR="004E4B5D">
        <w:rPr>
          <w:rFonts w:eastAsiaTheme="minorEastAsia"/>
          <w:sz w:val="20"/>
          <w:szCs w:val="20"/>
        </w:rPr>
        <w:t xml:space="preserve"> in</w:t>
      </w:r>
      <w:r>
        <w:rPr>
          <w:rFonts w:eastAsiaTheme="minorEastAsia" w:hint="eastAsia"/>
          <w:sz w:val="20"/>
          <w:szCs w:val="20"/>
        </w:rPr>
        <w:t xml:space="preserve"> absence of RF filter and the corresponding envelope detection bandwidth is 20MHz. To mitigate the interference of other A-IoT readers and guarantee the reader-to-device</w:t>
      </w:r>
      <w:r>
        <w:rPr>
          <w:rFonts w:eastAsiaTheme="minorEastAsia"/>
          <w:sz w:val="20"/>
          <w:szCs w:val="20"/>
        </w:rPr>
        <w:t xml:space="preserve"> </w:t>
      </w:r>
      <w:r>
        <w:rPr>
          <w:rFonts w:eastAsiaTheme="minorEastAsia" w:hint="eastAsia"/>
          <w:sz w:val="20"/>
          <w:szCs w:val="20"/>
        </w:rPr>
        <w:t>(R2D) performance, the minimum distance between active readers is as</w:t>
      </w:r>
      <w:r>
        <w:rPr>
          <w:rFonts w:eastAsiaTheme="minorEastAsia" w:hint="eastAsia"/>
          <w:sz w:val="20"/>
          <w:szCs w:val="20"/>
        </w:rPr>
        <w:t>sumed as 60m in the co-existence evaluations in RAN4.</w:t>
      </w:r>
    </w:p>
    <w:p w:rsidR="00A05BC1" w:rsidRDefault="003B32BD">
      <w:pPr>
        <w:pStyle w:val="af9"/>
        <w:spacing w:before="120" w:after="120"/>
        <w:ind w:left="0"/>
        <w:rPr>
          <w:rFonts w:eastAsiaTheme="minorEastAsia"/>
          <w:sz w:val="20"/>
          <w:szCs w:val="20"/>
        </w:rPr>
      </w:pPr>
      <w:r>
        <w:rPr>
          <w:rFonts w:eastAsiaTheme="minorEastAsia" w:hint="eastAsia"/>
          <w:sz w:val="20"/>
          <w:szCs w:val="20"/>
        </w:rPr>
        <w:t xml:space="preserve">Furthermore, based on the evaluation of co-existence between A-IoT device 1/2a and NR, it is observed when the legacy NR UEs are not deployed indoor with A-IoT, the co-existence between A-IoT and NR is </w:t>
      </w:r>
      <w:r>
        <w:rPr>
          <w:rFonts w:eastAsiaTheme="minorEastAsia" w:hint="eastAsia"/>
          <w:sz w:val="20"/>
          <w:szCs w:val="20"/>
        </w:rPr>
        <w:t>feasible. Meanwhile, if there are NR UEs indoor as A-IoT, NR throughput degradation or significant SINR degradation for A-IoT system is observed. Additional gNB implementation based techniques are needed to avoid/mitigate the interference.</w:t>
      </w:r>
    </w:p>
    <w:p w:rsidR="00A05BC1" w:rsidRDefault="003B32BD">
      <w:pPr>
        <w:pStyle w:val="af9"/>
        <w:spacing w:before="120" w:after="120"/>
        <w:ind w:left="0"/>
        <w:rPr>
          <w:rFonts w:eastAsiaTheme="minorEastAsia"/>
          <w:sz w:val="20"/>
          <w:szCs w:val="20"/>
        </w:rPr>
      </w:pPr>
      <w:r>
        <w:rPr>
          <w:rFonts w:eastAsiaTheme="minorEastAsia" w:hint="eastAsia"/>
          <w:sz w:val="20"/>
          <w:szCs w:val="20"/>
        </w:rPr>
        <w:t>Therefore, for d</w:t>
      </w:r>
      <w:r>
        <w:rPr>
          <w:rFonts w:eastAsiaTheme="minorEastAsia" w:hint="eastAsia"/>
          <w:sz w:val="20"/>
          <w:szCs w:val="20"/>
        </w:rPr>
        <w:t>evice 1/2a, the co-existence between A-IoT and NR, different A-IoT systems are based on deployment (indoor/outdoor separation) and gNB implementation. It will result into issues such as low resource utilization/inventory efficiency, complicated coordinatio</w:t>
      </w:r>
      <w:r>
        <w:rPr>
          <w:rFonts w:eastAsiaTheme="minorEastAsia" w:hint="eastAsia"/>
          <w:sz w:val="20"/>
          <w:szCs w:val="20"/>
        </w:rPr>
        <w:t>n between different gNB/reader, etc.</w:t>
      </w:r>
    </w:p>
    <w:p w:rsidR="00A05BC1" w:rsidRDefault="003B32BD">
      <w:pPr>
        <w:pStyle w:val="af9"/>
        <w:spacing w:before="120" w:after="120"/>
        <w:ind w:left="0"/>
        <w:rPr>
          <w:rFonts w:eastAsiaTheme="minorEastAsia"/>
          <w:sz w:val="20"/>
          <w:szCs w:val="20"/>
        </w:rPr>
      </w:pPr>
      <w:r>
        <w:rPr>
          <w:rFonts w:eastAsiaTheme="minorEastAsia" w:hint="eastAsia"/>
          <w:sz w:val="20"/>
          <w:szCs w:val="20"/>
        </w:rPr>
        <w:t xml:space="preserve">However, in outdoor scenarios, interference from macro cells to devices becomes more serious, leading to significant degradation in R2D performance. It will be challenging to deploy A-IoT with </w:t>
      </w:r>
      <w:r>
        <w:rPr>
          <w:rFonts w:eastAsiaTheme="minorEastAsia" w:hint="eastAsia"/>
          <w:sz w:val="20"/>
          <w:szCs w:val="20"/>
        </w:rPr>
        <w:t>all the restrictions t</w:t>
      </w:r>
      <w:r>
        <w:rPr>
          <w:rFonts w:eastAsiaTheme="minorEastAsia" w:hint="eastAsia"/>
          <w:sz w:val="20"/>
          <w:szCs w:val="20"/>
        </w:rPr>
        <w:t>o mitigate the interference caused by co-existence issues. Therefore, solutions to enable better co-existence between A-IoT and another A-IoT/NR are needed, e.g., higher device capabilities with narrower receiver bandwidth/RF filter.</w:t>
      </w:r>
    </w:p>
    <w:p w:rsidR="00A05BC1" w:rsidRDefault="003B32BD">
      <w:pPr>
        <w:pStyle w:val="YJ-Observation"/>
        <w:spacing w:before="120" w:after="120"/>
        <w:jc w:val="both"/>
        <w:rPr>
          <w:lang w:val="en-US" w:eastAsia="zh-CN"/>
        </w:rPr>
      </w:pPr>
      <w:r>
        <w:rPr>
          <w:rFonts w:hint="eastAsia"/>
          <w:lang w:val="en-US" w:eastAsia="zh-CN"/>
        </w:rPr>
        <w:t>For device 1/2a, the c</w:t>
      </w:r>
      <w:r>
        <w:rPr>
          <w:rFonts w:hint="eastAsia"/>
          <w:lang w:val="en-US" w:eastAsia="zh-CN"/>
        </w:rPr>
        <w:t>o-existence between A-IoT and NR, different A-IoT systems are based on deployment (indoor/outdoor separation) and gNB implementation.</w:t>
      </w:r>
    </w:p>
    <w:p w:rsidR="00A05BC1" w:rsidRDefault="003B32BD">
      <w:pPr>
        <w:pStyle w:val="YJ-Proposal"/>
        <w:numPr>
          <w:ilvl w:val="0"/>
          <w:numId w:val="7"/>
        </w:numPr>
        <w:spacing w:before="120" w:after="120"/>
      </w:pPr>
      <w:r>
        <w:rPr>
          <w:lang w:val="en-US" w:eastAsia="zh-CN"/>
        </w:rPr>
        <w:t>Solutions to enable better co-existence between A</w:t>
      </w:r>
      <w:r>
        <w:rPr>
          <w:rFonts w:hint="eastAsia"/>
          <w:lang w:val="en-US" w:eastAsia="zh-CN"/>
        </w:rPr>
        <w:t>-</w:t>
      </w:r>
      <w:r>
        <w:rPr>
          <w:lang w:val="en-US" w:eastAsia="zh-CN"/>
        </w:rPr>
        <w:t>I</w:t>
      </w:r>
      <w:r>
        <w:rPr>
          <w:rFonts w:hint="eastAsia"/>
          <w:lang w:val="en-US" w:eastAsia="zh-CN"/>
        </w:rPr>
        <w:t>o</w:t>
      </w:r>
      <w:r>
        <w:rPr>
          <w:lang w:val="en-US" w:eastAsia="zh-CN"/>
        </w:rPr>
        <w:t>T and another A</w:t>
      </w:r>
      <w:r>
        <w:rPr>
          <w:rFonts w:hint="eastAsia"/>
          <w:lang w:val="en-US" w:eastAsia="zh-CN"/>
        </w:rPr>
        <w:t>-</w:t>
      </w:r>
      <w:r>
        <w:rPr>
          <w:lang w:val="en-US" w:eastAsia="zh-CN"/>
        </w:rPr>
        <w:t>I</w:t>
      </w:r>
      <w:r>
        <w:rPr>
          <w:rFonts w:hint="eastAsia"/>
          <w:lang w:val="en-US" w:eastAsia="zh-CN"/>
        </w:rPr>
        <w:t>o</w:t>
      </w:r>
      <w:r>
        <w:rPr>
          <w:lang w:val="en-US" w:eastAsia="zh-CN"/>
        </w:rPr>
        <w:t xml:space="preserve">T/NR </w:t>
      </w:r>
      <w:r>
        <w:rPr>
          <w:rFonts w:hint="eastAsia"/>
          <w:lang w:val="en-US" w:eastAsia="zh-CN"/>
        </w:rPr>
        <w:t>can be considered</w:t>
      </w:r>
      <w:r>
        <w:rPr>
          <w:lang w:val="en-US" w:eastAsia="zh-CN"/>
        </w:rPr>
        <w:t>.</w:t>
      </w:r>
    </w:p>
    <w:p w:rsidR="00A05BC1" w:rsidRDefault="003B32BD">
      <w:pPr>
        <w:pStyle w:val="af9"/>
        <w:spacing w:before="120" w:after="120"/>
        <w:ind w:left="0"/>
        <w:rPr>
          <w:rFonts w:eastAsiaTheme="minorEastAsia"/>
          <w:sz w:val="20"/>
          <w:szCs w:val="20"/>
        </w:rPr>
      </w:pPr>
      <w:r>
        <w:rPr>
          <w:rFonts w:eastAsiaTheme="minorEastAsia" w:hint="eastAsia"/>
          <w:sz w:val="20"/>
          <w:szCs w:val="20"/>
        </w:rPr>
        <w:t>Moreover, based on the cover</w:t>
      </w:r>
      <w:r>
        <w:rPr>
          <w:rFonts w:eastAsiaTheme="minorEastAsia" w:hint="eastAsia"/>
          <w:sz w:val="20"/>
          <w:szCs w:val="20"/>
        </w:rPr>
        <w:t xml:space="preserve">age evaluation results in TR38.769, the coverage of device 1/2a in D1T1/D2T2 is less than 50m, while the coverage range of device 2b can reach to hundreds of meters. Hence, the device 2b is more appropriate for outdoor scenario in Rel-20. </w:t>
      </w:r>
    </w:p>
    <w:p w:rsidR="00A05BC1" w:rsidRDefault="003B32BD">
      <w:pPr>
        <w:pStyle w:val="af9"/>
        <w:spacing w:before="120" w:after="120"/>
        <w:ind w:left="0"/>
        <w:rPr>
          <w:rFonts w:eastAsiaTheme="minorEastAsia"/>
          <w:sz w:val="20"/>
          <w:szCs w:val="20"/>
        </w:rPr>
      </w:pPr>
      <w:r>
        <w:rPr>
          <w:rFonts w:eastAsiaTheme="minorEastAsia" w:hint="eastAsia"/>
          <w:sz w:val="20"/>
          <w:szCs w:val="20"/>
        </w:rPr>
        <w:t>For device 2a, w</w:t>
      </w:r>
      <w:r>
        <w:rPr>
          <w:rFonts w:eastAsiaTheme="minorEastAsia" w:hint="eastAsia"/>
          <w:sz w:val="20"/>
          <w:szCs w:val="20"/>
        </w:rPr>
        <w:t>hether it can be applied in Rel-20 outdoor scenario depends on the aspects listed above, i.e., co-existence and coverage issue.</w:t>
      </w:r>
    </w:p>
    <w:p w:rsidR="00A05BC1" w:rsidRDefault="003B32BD">
      <w:pPr>
        <w:pStyle w:val="af9"/>
        <w:spacing w:before="120" w:after="120"/>
        <w:ind w:left="0"/>
        <w:rPr>
          <w:rFonts w:eastAsiaTheme="minorEastAsia"/>
          <w:sz w:val="20"/>
          <w:szCs w:val="20"/>
        </w:rPr>
      </w:pPr>
      <w:r>
        <w:rPr>
          <w:rFonts w:eastAsiaTheme="minorEastAsia" w:hint="eastAsia"/>
          <w:sz w:val="20"/>
          <w:szCs w:val="20"/>
        </w:rPr>
        <w:t>In addition, device C has been studied in Rel-18 RAN SI, which may have higher capabilities/power consumption than device 2b. Th</w:t>
      </w:r>
      <w:r>
        <w:rPr>
          <w:rFonts w:eastAsiaTheme="minorEastAsia" w:hint="eastAsia"/>
          <w:sz w:val="20"/>
          <w:szCs w:val="20"/>
        </w:rPr>
        <w:t>e device C can be also considered in Rel-20 if the differentiation with device 2b is clarified.</w:t>
      </w:r>
    </w:p>
    <w:p w:rsidR="00A05BC1" w:rsidRDefault="003B32BD">
      <w:pPr>
        <w:pStyle w:val="YJ-Proposal"/>
        <w:numPr>
          <w:ilvl w:val="0"/>
          <w:numId w:val="7"/>
        </w:numPr>
        <w:spacing w:before="120" w:after="120"/>
      </w:pPr>
      <w:r>
        <w:rPr>
          <w:rFonts w:hint="eastAsia"/>
          <w:lang w:val="en-US" w:eastAsia="zh-CN"/>
        </w:rPr>
        <w:t xml:space="preserve">At least device 2b can be considered for </w:t>
      </w:r>
      <w:r>
        <w:rPr>
          <w:rFonts w:hint="eastAsia"/>
          <w:lang w:val="en-US" w:eastAsia="zh-CN"/>
        </w:rPr>
        <w:t>outdoor scenario</w:t>
      </w:r>
      <w:r w:rsidR="004E4B5D">
        <w:rPr>
          <w:lang w:val="en-US" w:eastAsia="zh-CN"/>
        </w:rPr>
        <w:t xml:space="preserve"> in Rel-20</w:t>
      </w:r>
      <w:r>
        <w:rPr>
          <w:rFonts w:hint="eastAsia"/>
          <w:lang w:val="en-US" w:eastAsia="zh-CN"/>
        </w:rPr>
        <w:t>.</w:t>
      </w:r>
    </w:p>
    <w:p w:rsidR="00A05BC1" w:rsidRDefault="003B32BD">
      <w:pPr>
        <w:pStyle w:val="2"/>
        <w:spacing w:before="120" w:after="120" w:line="260" w:lineRule="auto"/>
        <w:ind w:left="0" w:right="210"/>
        <w:jc w:val="left"/>
      </w:pPr>
      <w:r>
        <w:rPr>
          <w:rFonts w:hint="eastAsia"/>
        </w:rPr>
        <w:lastRenderedPageBreak/>
        <w:t>Enhancements for Rel-20 A-IoT</w:t>
      </w:r>
    </w:p>
    <w:p w:rsidR="00A05BC1" w:rsidRDefault="003B32BD">
      <w:pPr>
        <w:spacing w:before="120" w:after="120"/>
        <w:rPr>
          <w:b/>
          <w:bCs/>
          <w:u w:val="single"/>
        </w:rPr>
      </w:pPr>
      <w:r>
        <w:rPr>
          <w:rFonts w:hint="eastAsia"/>
          <w:b/>
          <w:bCs/>
          <w:u w:val="single"/>
        </w:rPr>
        <w:t>Coverage/capacity/spectral efficiency enhancements</w:t>
      </w:r>
    </w:p>
    <w:p w:rsidR="00A05BC1" w:rsidRDefault="003B32BD">
      <w:pPr>
        <w:spacing w:before="120" w:after="120"/>
        <w:rPr>
          <w:sz w:val="20"/>
        </w:rPr>
      </w:pPr>
      <w:r>
        <w:rPr>
          <w:rFonts w:hint="eastAsia"/>
          <w:sz w:val="20"/>
        </w:rPr>
        <w:t xml:space="preserve">In Rel-19, the maximum coverage for the indoor scenario is 50m. To support outdoor case, </w:t>
      </w:r>
      <w:r>
        <w:rPr>
          <w:rFonts w:hint="eastAsia"/>
          <w:sz w:val="20"/>
        </w:rPr>
        <w:t xml:space="preserve">evaluation on coverage and potential enhancements are needed. </w:t>
      </w:r>
    </w:p>
    <w:p w:rsidR="00A05BC1" w:rsidRDefault="003B32BD">
      <w:pPr>
        <w:spacing w:before="120" w:after="120"/>
        <w:rPr>
          <w:sz w:val="20"/>
          <w:lang w:bidi="ar"/>
        </w:rPr>
      </w:pPr>
      <w:r>
        <w:rPr>
          <w:rFonts w:hint="eastAsia"/>
          <w:sz w:val="20"/>
        </w:rPr>
        <w:t xml:space="preserve">Furthermore, there are 600 A-IoT devices in D1T1 </w:t>
      </w:r>
      <w:r>
        <w:rPr>
          <w:sz w:val="20"/>
          <w:lang w:bidi="ar"/>
        </w:rPr>
        <w:t>InF-DH</w:t>
      </w:r>
      <w:r>
        <w:rPr>
          <w:rFonts w:hint="eastAsia"/>
          <w:sz w:val="20"/>
          <w:lang w:bidi="ar"/>
        </w:rPr>
        <w:t xml:space="preserve"> scenarios. </w:t>
      </w:r>
      <w:r w:rsidR="004E4B5D">
        <w:rPr>
          <w:sz w:val="20"/>
          <w:lang w:bidi="ar"/>
        </w:rPr>
        <w:t>M</w:t>
      </w:r>
      <w:r>
        <w:rPr>
          <w:rFonts w:hint="eastAsia"/>
          <w:sz w:val="20"/>
          <w:lang w:bidi="ar"/>
        </w:rPr>
        <w:t>ultiple device inventory com</w:t>
      </w:r>
      <w:r>
        <w:rPr>
          <w:rFonts w:hint="eastAsia"/>
          <w:sz w:val="20"/>
          <w:lang w:bidi="ar"/>
        </w:rPr>
        <w:t>pletion time has been evaluated and capture</w:t>
      </w:r>
      <w:r w:rsidR="004E4B5D">
        <w:rPr>
          <w:sz w:val="20"/>
          <w:lang w:bidi="ar"/>
        </w:rPr>
        <w:t>d</w:t>
      </w:r>
      <w:r>
        <w:rPr>
          <w:rFonts w:hint="eastAsia"/>
          <w:sz w:val="20"/>
          <w:lang w:bidi="ar"/>
        </w:rPr>
        <w:t xml:space="preserve"> in TR 38.769, where the inventory completion time can be tens of seconds based on </w:t>
      </w:r>
      <w:r>
        <w:rPr>
          <w:rFonts w:hint="eastAsia"/>
          <w:sz w:val="20"/>
          <w:lang w:bidi="ar"/>
        </w:rPr>
        <w:t xml:space="preserve">varied </w:t>
      </w:r>
      <w:r>
        <w:rPr>
          <w:rFonts w:hint="eastAsia"/>
          <w:sz w:val="20"/>
          <w:lang w:bidi="ar"/>
        </w:rPr>
        <w:t>assumptions. For outdoor cases with large coverage, the number of devices in connection will be increased accordingly. Ther</w:t>
      </w:r>
      <w:r>
        <w:rPr>
          <w:rFonts w:hint="eastAsia"/>
          <w:sz w:val="20"/>
          <w:lang w:bidi="ar"/>
        </w:rPr>
        <w:t>efore, solutions to further increase the capacity and reduce the inventory completion time should be considered.</w:t>
      </w:r>
    </w:p>
    <w:p w:rsidR="00A05BC1" w:rsidRDefault="003B32BD">
      <w:pPr>
        <w:spacing w:before="120" w:after="120"/>
        <w:rPr>
          <w:sz w:val="20"/>
          <w:lang w:bidi="ar"/>
        </w:rPr>
      </w:pPr>
      <w:r>
        <w:rPr>
          <w:rFonts w:hint="eastAsia"/>
          <w:sz w:val="20"/>
          <w:lang w:bidi="ar"/>
        </w:rPr>
        <w:t>In addition, considering the coexistence with NR systems outdoors, higher spectral efficiency is required to reduce the frequency domain resour</w:t>
      </w:r>
      <w:r>
        <w:rPr>
          <w:rFonts w:hint="eastAsia"/>
          <w:sz w:val="20"/>
          <w:lang w:bidi="ar"/>
        </w:rPr>
        <w:t>ce overhead of A-IoT and minimize the impact on existing NR systems. Therefore, solutions with higher spectral efficiency should be considered.</w:t>
      </w:r>
      <w:r>
        <w:rPr>
          <w:rFonts w:hint="eastAsia"/>
          <w:sz w:val="20"/>
          <w:lang w:bidi="ar"/>
        </w:rPr>
        <w:t xml:space="preserve"> </w:t>
      </w:r>
      <w:r>
        <w:rPr>
          <w:rFonts w:hint="eastAsia"/>
          <w:sz w:val="20"/>
        </w:rPr>
        <w:t xml:space="preserve">In Rel-19, given the limited capabilities for device 1, only binary modulation, such as OOK in R2D/D2D and BPSK </w:t>
      </w:r>
      <w:r>
        <w:rPr>
          <w:rFonts w:hint="eastAsia"/>
          <w:sz w:val="20"/>
        </w:rPr>
        <w:t>in D2R, is considered. And for R2D, FEC isn</w:t>
      </w:r>
      <w:r>
        <w:rPr>
          <w:sz w:val="20"/>
        </w:rPr>
        <w:t>’</w:t>
      </w:r>
      <w:r>
        <w:rPr>
          <w:rFonts w:hint="eastAsia"/>
          <w:sz w:val="20"/>
        </w:rPr>
        <w:t>t recommended in R2D. In Rel-20, the enhancements like BPSK/FEC in R2D, higher modulation order such as QPSK at least in D2R, can be considered to improve the spectral efficiency.</w:t>
      </w:r>
    </w:p>
    <w:p w:rsidR="00A05BC1" w:rsidRDefault="003B32BD">
      <w:pPr>
        <w:pStyle w:val="YJ-Proposal"/>
        <w:numPr>
          <w:ilvl w:val="0"/>
          <w:numId w:val="7"/>
        </w:numPr>
        <w:spacing w:before="120" w:after="120"/>
        <w:jc w:val="both"/>
        <w:rPr>
          <w:lang w:val="en-US" w:eastAsia="zh-CN"/>
        </w:rPr>
      </w:pPr>
      <w:r>
        <w:rPr>
          <w:rFonts w:hint="eastAsia"/>
          <w:lang w:val="en-US" w:eastAsia="zh-CN"/>
        </w:rPr>
        <w:t>Techniques to increase the A-IoT</w:t>
      </w:r>
      <w:r>
        <w:rPr>
          <w:rFonts w:hint="eastAsia"/>
          <w:lang w:val="en-US" w:eastAsia="zh-CN"/>
        </w:rPr>
        <w:t xml:space="preserve"> coverage, capacity, spectral efficiency should be considered in Rel-20 outdoor scenario.</w:t>
      </w:r>
    </w:p>
    <w:p w:rsidR="00A05BC1" w:rsidRDefault="003B32BD">
      <w:pPr>
        <w:spacing w:before="120" w:after="120"/>
        <w:rPr>
          <w:b/>
          <w:bCs/>
          <w:u w:val="single"/>
        </w:rPr>
      </w:pPr>
      <w:r>
        <w:rPr>
          <w:rFonts w:hint="eastAsia"/>
          <w:b/>
          <w:bCs/>
          <w:u w:val="single"/>
        </w:rPr>
        <w:t>Positioning enhancements</w:t>
      </w:r>
    </w:p>
    <w:p w:rsidR="00A05BC1" w:rsidRDefault="003B32BD">
      <w:pPr>
        <w:spacing w:before="120" w:after="120"/>
        <w:rPr>
          <w:sz w:val="20"/>
        </w:rPr>
      </w:pPr>
      <w:r>
        <w:rPr>
          <w:rFonts w:hint="eastAsia"/>
          <w:sz w:val="20"/>
          <w:lang w:bidi="ar"/>
        </w:rPr>
        <w:t xml:space="preserve">According to the RAN study, the </w:t>
      </w:r>
      <w:r>
        <w:rPr>
          <w:sz w:val="20"/>
        </w:rPr>
        <w:t>design target of absolute positioning accuracy</w:t>
      </w:r>
      <w:r>
        <w:rPr>
          <w:rFonts w:hint="eastAsia"/>
          <w:sz w:val="20"/>
        </w:rPr>
        <w:t xml:space="preserve"> is several tens of meters @ 90% outdoor location. In Rel-19 SI</w:t>
      </w:r>
      <w:r>
        <w:rPr>
          <w:rFonts w:hint="eastAsia"/>
          <w:sz w:val="20"/>
        </w:rPr>
        <w:t xml:space="preserve">D, the following two objectives are relevant to positioning. </w:t>
      </w:r>
    </w:p>
    <w:tbl>
      <w:tblPr>
        <w:tblStyle w:val="af3"/>
        <w:tblW w:w="0" w:type="auto"/>
        <w:tblLook w:val="04A0" w:firstRow="1" w:lastRow="0" w:firstColumn="1" w:lastColumn="0" w:noHBand="0" w:noVBand="1"/>
      </w:tblPr>
      <w:tblGrid>
        <w:gridCol w:w="9650"/>
      </w:tblGrid>
      <w:tr w:rsidR="00A05BC1">
        <w:tc>
          <w:tcPr>
            <w:tcW w:w="9876" w:type="dxa"/>
          </w:tcPr>
          <w:p w:rsidR="00A05BC1" w:rsidRDefault="003B32BD">
            <w:pPr>
              <w:spacing w:before="120" w:after="120"/>
              <w:ind w:left="360" w:right="-96"/>
              <w:rPr>
                <w:sz w:val="20"/>
                <w:lang w:eastAsia="ja-JP"/>
              </w:rPr>
            </w:pPr>
            <w:r>
              <w:rPr>
                <w:sz w:val="20"/>
                <w:lang w:eastAsia="ja-JP"/>
              </w:rPr>
              <w:t>Study of positioning in Rel-19 is RAN3-led, limited to functionalities which would have no, or minimal, specification impact (note: this does not imply any decision relating to WI creation).</w:t>
            </w:r>
          </w:p>
          <w:p w:rsidR="00A05BC1" w:rsidRDefault="003B32BD">
            <w:pPr>
              <w:spacing w:before="120" w:after="120"/>
              <w:ind w:left="360" w:right="-96"/>
              <w:rPr>
                <w:sz w:val="20"/>
              </w:rPr>
            </w:pPr>
            <w:r>
              <w:rPr>
                <w:sz w:val="20"/>
                <w:lang w:eastAsia="ja-JP"/>
              </w:rPr>
              <w:t>Stu</w:t>
            </w:r>
            <w:r>
              <w:rPr>
                <w:sz w:val="20"/>
                <w:lang w:eastAsia="ja-JP"/>
              </w:rPr>
              <w:t>dy the feasibility and required functionalities for proximity determination (coordination with SA3 is required for privacy aspects).</w:t>
            </w:r>
          </w:p>
        </w:tc>
      </w:tr>
    </w:tbl>
    <w:p w:rsidR="00A05BC1" w:rsidRDefault="003B32BD">
      <w:pPr>
        <w:spacing w:before="120" w:after="120"/>
        <w:rPr>
          <w:sz w:val="20"/>
        </w:rPr>
      </w:pPr>
      <w:r>
        <w:rPr>
          <w:rFonts w:hint="eastAsia"/>
          <w:sz w:val="20"/>
        </w:rPr>
        <w:t>However, the positioning/locating led by RAN3 may aim to provide a location of reader ID granularity. While for the proxim</w:t>
      </w:r>
      <w:r>
        <w:rPr>
          <w:rFonts w:hint="eastAsia"/>
          <w:sz w:val="20"/>
        </w:rPr>
        <w:t>ity discussion in RAN1, the following two solutions have been identified.</w:t>
      </w:r>
    </w:p>
    <w:tbl>
      <w:tblPr>
        <w:tblStyle w:val="af3"/>
        <w:tblW w:w="0" w:type="auto"/>
        <w:tblLook w:val="04A0" w:firstRow="1" w:lastRow="0" w:firstColumn="1" w:lastColumn="0" w:noHBand="0" w:noVBand="1"/>
      </w:tblPr>
      <w:tblGrid>
        <w:gridCol w:w="9650"/>
      </w:tblGrid>
      <w:tr w:rsidR="00A05BC1">
        <w:tc>
          <w:tcPr>
            <w:tcW w:w="9876" w:type="dxa"/>
          </w:tcPr>
          <w:p w:rsidR="00A05BC1" w:rsidRDefault="003B32BD">
            <w:pPr>
              <w:pStyle w:val="EX"/>
              <w:spacing w:before="120" w:after="120"/>
              <w:rPr>
                <w:sz w:val="20"/>
              </w:rPr>
            </w:pPr>
            <w:r>
              <w:rPr>
                <w:sz w:val="20"/>
              </w:rPr>
              <w:t>Solution 1:</w:t>
            </w:r>
            <w:r>
              <w:rPr>
                <w:sz w:val="20"/>
              </w:rPr>
              <w:tab/>
              <w:t>If the reader successfully receives D2R transmission from the device in response to R2D transmission, then the device is determined as near to the reader.</w:t>
            </w:r>
          </w:p>
          <w:p w:rsidR="00A05BC1" w:rsidRDefault="003B32BD">
            <w:pPr>
              <w:pStyle w:val="EX"/>
              <w:spacing w:before="120" w:after="120"/>
              <w:rPr>
                <w:sz w:val="20"/>
              </w:rPr>
            </w:pPr>
            <w:r>
              <w:rPr>
                <w:sz w:val="20"/>
              </w:rPr>
              <w:t>Solution 2:</w:t>
            </w:r>
            <w:r>
              <w:rPr>
                <w:sz w:val="20"/>
              </w:rPr>
              <w:tab/>
              <w:t xml:space="preserve">If </w:t>
            </w:r>
            <w:r>
              <w:rPr>
                <w:sz w:val="20"/>
              </w:rPr>
              <w:t>the reader successfully receives D2R transmission from the device in response to R2D transmission, then the device is determined as near to the reader based on measurements at the reader side.</w:t>
            </w:r>
          </w:p>
          <w:p w:rsidR="00A05BC1" w:rsidRDefault="003B32BD">
            <w:pPr>
              <w:spacing w:before="120" w:after="120"/>
              <w:rPr>
                <w:sz w:val="20"/>
              </w:rPr>
            </w:pPr>
            <w:r>
              <w:rPr>
                <w:sz w:val="20"/>
              </w:rPr>
              <w:t>Proximity determination based on device-side measurements is no</w:t>
            </w:r>
            <w:r>
              <w:rPr>
                <w:sz w:val="20"/>
              </w:rPr>
              <w:t>t considered.</w:t>
            </w:r>
          </w:p>
        </w:tc>
      </w:tr>
    </w:tbl>
    <w:p w:rsidR="00A05BC1" w:rsidRDefault="003B32BD">
      <w:pPr>
        <w:spacing w:before="120" w:after="120"/>
        <w:rPr>
          <w:sz w:val="20"/>
        </w:rPr>
      </w:pPr>
      <w:r>
        <w:rPr>
          <w:rFonts w:hint="eastAsia"/>
          <w:sz w:val="20"/>
        </w:rPr>
        <w:t>Therefore, there is a gap for the location/proximity discussion in Rel-19 and the positioning requirement in RAN design target. Techniques to provide the target positioning accuracy should be considered in Rel-20.</w:t>
      </w:r>
    </w:p>
    <w:p w:rsidR="00A05BC1" w:rsidRDefault="003B32BD">
      <w:pPr>
        <w:pStyle w:val="YJ-Proposal"/>
        <w:numPr>
          <w:ilvl w:val="0"/>
          <w:numId w:val="7"/>
        </w:numPr>
        <w:spacing w:before="120" w:after="120"/>
        <w:jc w:val="both"/>
        <w:rPr>
          <w:lang w:val="en-US" w:eastAsia="zh-CN" w:bidi="ar"/>
        </w:rPr>
      </w:pPr>
      <w:r>
        <w:rPr>
          <w:rFonts w:hint="eastAsia"/>
          <w:lang w:val="en-US" w:eastAsia="zh-CN"/>
        </w:rPr>
        <w:t>Techniques to provide the t</w:t>
      </w:r>
      <w:r>
        <w:rPr>
          <w:rFonts w:hint="eastAsia"/>
          <w:lang w:val="en-US" w:eastAsia="zh-CN"/>
        </w:rPr>
        <w:t>arget positioning accuracy in TR 38.848 should be considered in Rel-20.</w:t>
      </w:r>
    </w:p>
    <w:p w:rsidR="00A05BC1" w:rsidRDefault="003B32BD">
      <w:pPr>
        <w:spacing w:before="120" w:after="120"/>
        <w:rPr>
          <w:b/>
          <w:bCs/>
          <w:u w:val="single"/>
        </w:rPr>
      </w:pPr>
      <w:r>
        <w:rPr>
          <w:rFonts w:hint="eastAsia"/>
          <w:b/>
          <w:bCs/>
          <w:u w:val="single"/>
        </w:rPr>
        <w:t>DO-A traffic</w:t>
      </w:r>
    </w:p>
    <w:p w:rsidR="00A05BC1" w:rsidRDefault="003B32BD">
      <w:pPr>
        <w:spacing w:before="120" w:after="120"/>
        <w:rPr>
          <w:sz w:val="20"/>
        </w:rPr>
      </w:pPr>
      <w:r>
        <w:rPr>
          <w:rFonts w:hint="eastAsia"/>
          <w:sz w:val="20"/>
        </w:rPr>
        <w:t xml:space="preserve">The Rel-19 SI focuses on </w:t>
      </w:r>
      <w:r>
        <w:rPr>
          <w:rFonts w:hint="eastAsia"/>
          <w:color w:val="000000"/>
          <w:sz w:val="20"/>
          <w:lang w:eastAsia="ja-JP"/>
        </w:rPr>
        <w:t>DO-DTT</w:t>
      </w:r>
      <w:r>
        <w:rPr>
          <w:rFonts w:hint="eastAsia"/>
          <w:color w:val="000000"/>
          <w:sz w:val="20"/>
        </w:rPr>
        <w:t xml:space="preserve"> and</w:t>
      </w:r>
      <w:r>
        <w:rPr>
          <w:rFonts w:hint="eastAsia"/>
          <w:color w:val="000000"/>
          <w:sz w:val="20"/>
          <w:lang w:eastAsia="ja-JP"/>
        </w:rPr>
        <w:t xml:space="preserve"> DT</w:t>
      </w:r>
      <w:r>
        <w:rPr>
          <w:rFonts w:hint="eastAsia"/>
          <w:color w:val="000000"/>
          <w:sz w:val="20"/>
        </w:rPr>
        <w:t xml:space="preserve"> traffic. It has been discussed about the feasibility to support DO-A traffic via the harmonized design for </w:t>
      </w:r>
      <w:r>
        <w:rPr>
          <w:sz w:val="20"/>
        </w:rPr>
        <w:t>DO-DTT and DT traffic</w:t>
      </w:r>
      <w:r>
        <w:rPr>
          <w:rFonts w:hint="eastAsia"/>
          <w:sz w:val="20"/>
        </w:rPr>
        <w:t xml:space="preserve">. </w:t>
      </w:r>
      <w:r>
        <w:rPr>
          <w:rFonts w:hint="eastAsia"/>
          <w:sz w:val="20"/>
        </w:rPr>
        <w:t>The conclusion in RAN1 and RAN2 can be found as below.</w:t>
      </w:r>
    </w:p>
    <w:tbl>
      <w:tblPr>
        <w:tblStyle w:val="af3"/>
        <w:tblW w:w="0" w:type="auto"/>
        <w:tblLook w:val="04A0" w:firstRow="1" w:lastRow="0" w:firstColumn="1" w:lastColumn="0" w:noHBand="0" w:noVBand="1"/>
      </w:tblPr>
      <w:tblGrid>
        <w:gridCol w:w="9650"/>
      </w:tblGrid>
      <w:tr w:rsidR="00A05BC1">
        <w:tc>
          <w:tcPr>
            <w:tcW w:w="9876" w:type="dxa"/>
          </w:tcPr>
          <w:p w:rsidR="00A05BC1" w:rsidRDefault="003B32BD">
            <w:pPr>
              <w:spacing w:before="120" w:after="120"/>
              <w:rPr>
                <w:b/>
                <w:bCs/>
                <w:sz w:val="20"/>
                <w:u w:val="single"/>
              </w:rPr>
            </w:pPr>
            <w:r>
              <w:rPr>
                <w:sz w:val="20"/>
              </w:rPr>
              <w:lastRenderedPageBreak/>
              <w:t xml:space="preserve">From the RAN1 perspective, at least the following aspect of the air interface for DO-DTT and DT traffic types is not sufficient for the DO-A traffic type: For DO-DTT and DT traffic types, the D2R </w:t>
            </w:r>
            <w:r>
              <w:rPr>
                <w:sz w:val="20"/>
              </w:rPr>
              <w:t>resource(s) for D2R transmission is/are indicated in a R2D transmission, but this is not applicable at least for the first D2R transmission for DO-A traffic.</w:t>
            </w:r>
          </w:p>
        </w:tc>
      </w:tr>
    </w:tbl>
    <w:p w:rsidR="00A05BC1" w:rsidRDefault="003B32BD">
      <w:pPr>
        <w:pBdr>
          <w:top w:val="single" w:sz="4" w:space="1" w:color="auto"/>
          <w:left w:val="single" w:sz="4" w:space="4" w:color="auto"/>
          <w:bottom w:val="single" w:sz="4" w:space="1" w:color="auto"/>
          <w:right w:val="single" w:sz="4" w:space="4" w:color="auto"/>
        </w:pBdr>
        <w:spacing w:before="120" w:after="120"/>
        <w:rPr>
          <w:sz w:val="20"/>
        </w:rPr>
      </w:pPr>
      <w:r>
        <w:rPr>
          <w:sz w:val="20"/>
        </w:rPr>
        <w:t>From RAN2 perspective, at least the A-IoT paging is an aspect/part of the current design which is</w:t>
      </w:r>
      <w:r>
        <w:rPr>
          <w:sz w:val="20"/>
        </w:rPr>
        <w:t xml:space="preserve"> not sufficient for the DO-A use case.  </w:t>
      </w:r>
    </w:p>
    <w:p w:rsidR="00A05BC1" w:rsidRDefault="003B32BD">
      <w:pPr>
        <w:pBdr>
          <w:top w:val="single" w:sz="4" w:space="1" w:color="auto"/>
          <w:left w:val="single" w:sz="4" w:space="4" w:color="auto"/>
          <w:bottom w:val="single" w:sz="4" w:space="1" w:color="auto"/>
          <w:right w:val="single" w:sz="4" w:space="4" w:color="auto"/>
        </w:pBdr>
        <w:spacing w:before="120" w:after="120"/>
        <w:rPr>
          <w:sz w:val="20"/>
        </w:rPr>
      </w:pPr>
      <w:r>
        <w:rPr>
          <w:sz w:val="20"/>
        </w:rPr>
        <w:t>From RAN2 perspective, DO-A use case cannot be supported with the current design discussed in the study item.</w:t>
      </w:r>
    </w:p>
    <w:p w:rsidR="00A05BC1" w:rsidRDefault="003B32BD">
      <w:pPr>
        <w:spacing w:before="120" w:after="120"/>
        <w:rPr>
          <w:sz w:val="20"/>
        </w:rPr>
      </w:pPr>
      <w:r>
        <w:rPr>
          <w:sz w:val="20"/>
        </w:rPr>
        <w:t>With the above evaluation and conclusion in both RAN1 and RAN2, we observe that:</w:t>
      </w:r>
    </w:p>
    <w:p w:rsidR="00A05BC1" w:rsidRDefault="003B32BD">
      <w:pPr>
        <w:pStyle w:val="YJ-Observation"/>
        <w:spacing w:before="120" w:after="120"/>
        <w:jc w:val="both"/>
        <w:rPr>
          <w:lang w:val="en-US" w:eastAsia="zh-CN"/>
        </w:rPr>
      </w:pPr>
      <w:r>
        <w:rPr>
          <w:lang w:val="en-US" w:eastAsia="zh-CN"/>
        </w:rPr>
        <w:t xml:space="preserve">DO-A use case cannot be </w:t>
      </w:r>
      <w:r>
        <w:rPr>
          <w:lang w:val="en-US" w:eastAsia="zh-CN"/>
        </w:rPr>
        <w:t>supported with the current design in the Rel-19 AIOT SI.</w:t>
      </w:r>
    </w:p>
    <w:p w:rsidR="00A05BC1" w:rsidRDefault="003B32BD">
      <w:pPr>
        <w:spacing w:before="120" w:after="120"/>
        <w:rPr>
          <w:sz w:val="20"/>
        </w:rPr>
      </w:pPr>
      <w:r>
        <w:rPr>
          <w:sz w:val="20"/>
        </w:rPr>
        <w:t>While we understand the DO-A use case has been widely acknowledged for device to autonomously report environment information such as temperature, humidity, etc. Considering the limited time in Rel-19</w:t>
      </w:r>
      <w:r>
        <w:rPr>
          <w:sz w:val="20"/>
        </w:rPr>
        <w:t>, we would like to support DO-A in Rel-20.</w:t>
      </w:r>
    </w:p>
    <w:p w:rsidR="00A05BC1" w:rsidRDefault="003B32BD">
      <w:pPr>
        <w:pStyle w:val="YJ-Proposal"/>
        <w:numPr>
          <w:ilvl w:val="0"/>
          <w:numId w:val="7"/>
        </w:numPr>
        <w:spacing w:before="120" w:after="120"/>
        <w:jc w:val="both"/>
        <w:rPr>
          <w:lang w:val="en-US" w:eastAsia="zh-CN" w:bidi="ar"/>
        </w:rPr>
      </w:pPr>
      <w:r>
        <w:rPr>
          <w:lang w:val="en-US" w:eastAsia="zh-CN"/>
        </w:rPr>
        <w:t>Support DO-A traffic type in</w:t>
      </w:r>
      <w:r>
        <w:rPr>
          <w:rFonts w:hint="eastAsia"/>
          <w:lang w:val="en-US" w:eastAsia="zh-CN"/>
        </w:rPr>
        <w:t xml:space="preserve"> Rel-2</w:t>
      </w:r>
      <w:r>
        <w:rPr>
          <w:lang w:val="en-US" w:eastAsia="zh-CN"/>
        </w:rPr>
        <w:t>0 and specify the corresponding configuration and procedures.</w:t>
      </w:r>
    </w:p>
    <w:p w:rsidR="00A05BC1" w:rsidRDefault="003B32BD">
      <w:pPr>
        <w:spacing w:before="120" w:after="120"/>
        <w:rPr>
          <w:b/>
          <w:bCs/>
          <w:u w:val="single"/>
        </w:rPr>
      </w:pPr>
      <w:r>
        <w:rPr>
          <w:rFonts w:hint="eastAsia"/>
          <w:b/>
          <w:bCs/>
          <w:u w:val="single"/>
        </w:rPr>
        <w:t>A-IoT performance and efficiency enhancements</w:t>
      </w:r>
    </w:p>
    <w:p w:rsidR="00A05BC1" w:rsidRDefault="003B32BD">
      <w:pPr>
        <w:spacing w:before="120" w:after="120"/>
        <w:rPr>
          <w:b/>
          <w:bCs/>
          <w:u w:val="single"/>
        </w:rPr>
      </w:pPr>
      <w:r>
        <w:rPr>
          <w:rFonts w:hint="eastAsia"/>
          <w:b/>
          <w:bCs/>
          <w:u w:val="single"/>
        </w:rPr>
        <w:t>R</w:t>
      </w:r>
      <w:r>
        <w:rPr>
          <w:b/>
          <w:bCs/>
          <w:u w:val="single"/>
        </w:rPr>
        <w:t>andom access</w:t>
      </w:r>
    </w:p>
    <w:p w:rsidR="00A05BC1" w:rsidRDefault="003B32BD">
      <w:pPr>
        <w:spacing w:before="120" w:after="120"/>
        <w:rPr>
          <w:sz w:val="20"/>
        </w:rPr>
      </w:pPr>
      <w:r>
        <w:rPr>
          <w:sz w:val="20"/>
        </w:rPr>
        <w:t>For contention based random access, the device randomly s</w:t>
      </w:r>
      <w:r>
        <w:rPr>
          <w:sz w:val="20"/>
        </w:rPr>
        <w:t>elect one access occasion for A-IoT Msg1 within the access occasions provided/assigned by the reader at least for TDMA case, which may lead to lots of conflicts and re-access or multiple rounds of inventory. To address this, we understand deterministic acc</w:t>
      </w:r>
      <w:r>
        <w:rPr>
          <w:sz w:val="20"/>
        </w:rPr>
        <w:t>ess occasion selection can be considered to reduce access collision in multiple devices paging or group paging cases, e.g., access occasion selection based on device identity.</w:t>
      </w:r>
    </w:p>
    <w:p w:rsidR="00A05BC1" w:rsidRDefault="003B32BD">
      <w:pPr>
        <w:pStyle w:val="YJ-Proposal"/>
        <w:numPr>
          <w:ilvl w:val="0"/>
          <w:numId w:val="7"/>
        </w:numPr>
        <w:spacing w:before="120" w:after="120"/>
        <w:jc w:val="both"/>
        <w:rPr>
          <w:lang w:val="en-US" w:eastAsia="zh-CN"/>
        </w:rPr>
      </w:pPr>
      <w:r>
        <w:rPr>
          <w:lang w:val="en-US" w:eastAsia="zh-CN"/>
        </w:rPr>
        <w:t>Deterministic access occasion selection can be considered in Rel-20 to reduce th</w:t>
      </w:r>
      <w:r>
        <w:rPr>
          <w:lang w:val="en-US" w:eastAsia="zh-CN"/>
        </w:rPr>
        <w:t>e access collision for multi-device access case.</w:t>
      </w:r>
    </w:p>
    <w:p w:rsidR="00A05BC1" w:rsidRDefault="003B32BD">
      <w:pPr>
        <w:spacing w:before="120" w:after="120"/>
        <w:rPr>
          <w:b/>
          <w:bCs/>
          <w:u w:val="single"/>
        </w:rPr>
      </w:pPr>
      <w:r>
        <w:rPr>
          <w:rFonts w:hint="eastAsia"/>
          <w:b/>
          <w:bCs/>
          <w:u w:val="single"/>
        </w:rPr>
        <w:t>P</w:t>
      </w:r>
      <w:r>
        <w:rPr>
          <w:b/>
          <w:bCs/>
          <w:u w:val="single"/>
        </w:rPr>
        <w:t>aging</w:t>
      </w:r>
    </w:p>
    <w:p w:rsidR="00A05BC1" w:rsidRDefault="003B32BD">
      <w:pPr>
        <w:spacing w:before="120" w:after="120"/>
        <w:rPr>
          <w:sz w:val="20"/>
        </w:rPr>
      </w:pPr>
      <w:r>
        <w:rPr>
          <w:rFonts w:hint="eastAsia"/>
          <w:sz w:val="20"/>
        </w:rPr>
        <w:t>T</w:t>
      </w:r>
      <w:r>
        <w:rPr>
          <w:sz w:val="20"/>
        </w:rPr>
        <w:t>he following scenarios have been acknowledged in the SI:</w:t>
      </w:r>
    </w:p>
    <w:p w:rsidR="00A05BC1" w:rsidRDefault="003B32BD">
      <w:pPr>
        <w:pStyle w:val="af9"/>
        <w:numPr>
          <w:ilvl w:val="0"/>
          <w:numId w:val="8"/>
        </w:numPr>
        <w:spacing w:before="120" w:after="120"/>
        <w:rPr>
          <w:sz w:val="20"/>
          <w:szCs w:val="20"/>
        </w:rPr>
      </w:pPr>
      <w:r>
        <w:rPr>
          <w:sz w:val="20"/>
          <w:szCs w:val="20"/>
        </w:rPr>
        <w:t>Scenario 1: The reader may send multiple (subsequent) A-IoT paging messages that are associated with the same service request from the CN. The</w:t>
      </w:r>
      <w:r>
        <w:rPr>
          <w:sz w:val="20"/>
          <w:szCs w:val="20"/>
        </w:rPr>
        <w:t xml:space="preserve"> duplicated response from devices for the same service request should be avoided.</w:t>
      </w:r>
    </w:p>
    <w:p w:rsidR="00A05BC1" w:rsidRDefault="003B32BD">
      <w:pPr>
        <w:pStyle w:val="af9"/>
        <w:numPr>
          <w:ilvl w:val="0"/>
          <w:numId w:val="8"/>
        </w:numPr>
        <w:spacing w:before="120" w:after="120"/>
        <w:rPr>
          <w:sz w:val="20"/>
          <w:szCs w:val="20"/>
        </w:rPr>
      </w:pPr>
      <w:r>
        <w:rPr>
          <w:sz w:val="20"/>
          <w:szCs w:val="20"/>
        </w:rPr>
        <w:t>Scenario 2: Different readers may send A-IoT paging messages, which are associated with the same service request from the CN, to the same device for response.</w:t>
      </w:r>
    </w:p>
    <w:p w:rsidR="00A05BC1" w:rsidRDefault="003B32BD">
      <w:pPr>
        <w:spacing w:before="120" w:after="120"/>
        <w:rPr>
          <w:rFonts w:eastAsiaTheme="minorEastAsia"/>
          <w:sz w:val="20"/>
        </w:rPr>
      </w:pPr>
      <w:r>
        <w:rPr>
          <w:rFonts w:eastAsiaTheme="minorEastAsia" w:hint="eastAsia"/>
          <w:sz w:val="20"/>
        </w:rPr>
        <w:t>F</w:t>
      </w:r>
      <w:r>
        <w:rPr>
          <w:rFonts w:eastAsiaTheme="minorEastAsia"/>
          <w:sz w:val="20"/>
        </w:rPr>
        <w:t>or the above s</w:t>
      </w:r>
      <w:r>
        <w:rPr>
          <w:rFonts w:eastAsiaTheme="minorEastAsia"/>
          <w:sz w:val="20"/>
        </w:rPr>
        <w:t>cenarios, if it is possible to avoid duplicated response from the same device for the same service request, the inventory and command efficiency can be improved while access collision can be alleviated a little bit.</w:t>
      </w:r>
      <w:r>
        <w:rPr>
          <w:rFonts w:eastAsiaTheme="minorEastAsia" w:hint="eastAsia"/>
          <w:sz w:val="20"/>
        </w:rPr>
        <w:t xml:space="preserve"> </w:t>
      </w:r>
      <w:r>
        <w:rPr>
          <w:rFonts w:eastAsiaTheme="minorEastAsia"/>
          <w:sz w:val="20"/>
        </w:rPr>
        <w:t>There has been discussion in SI phase fo</w:t>
      </w:r>
      <w:r>
        <w:rPr>
          <w:rFonts w:eastAsiaTheme="minorEastAsia"/>
          <w:sz w:val="20"/>
        </w:rPr>
        <w:t>r these while further design and detailed discussion is still needed. Considering the limited time in Rel-19 WI phase, reducing duplicated response from the same device for the same service request should be considered in Rel-20 if not specified in Rel-19.</w:t>
      </w:r>
    </w:p>
    <w:p w:rsidR="00A05BC1" w:rsidRDefault="003B32BD">
      <w:pPr>
        <w:pStyle w:val="YJ-Proposal"/>
        <w:numPr>
          <w:ilvl w:val="0"/>
          <w:numId w:val="7"/>
        </w:numPr>
        <w:spacing w:before="120" w:after="120"/>
        <w:jc w:val="both"/>
        <w:rPr>
          <w:lang w:val="en-US" w:eastAsia="zh-CN"/>
        </w:rPr>
      </w:pPr>
      <w:r>
        <w:rPr>
          <w:lang w:val="en-US" w:eastAsia="zh-CN"/>
        </w:rPr>
        <w:t>Reducing duplicated response from the same device for the same service request should be considered in Rel-20, if not specified in Rel-19.</w:t>
      </w:r>
    </w:p>
    <w:p w:rsidR="00A05BC1" w:rsidRDefault="003B32BD">
      <w:pPr>
        <w:spacing w:before="120" w:after="120"/>
        <w:rPr>
          <w:b/>
          <w:bCs/>
          <w:u w:val="single"/>
        </w:rPr>
      </w:pPr>
      <w:r>
        <w:rPr>
          <w:b/>
          <w:bCs/>
          <w:u w:val="single"/>
        </w:rPr>
        <w:t>Topology 2</w:t>
      </w:r>
    </w:p>
    <w:p w:rsidR="00A05BC1" w:rsidRDefault="003B32BD">
      <w:pPr>
        <w:spacing w:before="120" w:after="120"/>
        <w:rPr>
          <w:rFonts w:eastAsiaTheme="minorEastAsia"/>
          <w:sz w:val="20"/>
        </w:rPr>
      </w:pPr>
      <w:r>
        <w:rPr>
          <w:rFonts w:eastAsiaTheme="minorEastAsia"/>
          <w:sz w:val="20"/>
        </w:rPr>
        <w:t xml:space="preserve">We have proposed to </w:t>
      </w:r>
      <w:r>
        <w:rPr>
          <w:sz w:val="20"/>
        </w:rPr>
        <w:t>specify the following aspects for TP#2 [4]:</w:t>
      </w:r>
    </w:p>
    <w:p w:rsidR="00A05BC1" w:rsidRDefault="003B32BD">
      <w:pPr>
        <w:pStyle w:val="af9"/>
        <w:numPr>
          <w:ilvl w:val="0"/>
          <w:numId w:val="9"/>
        </w:numPr>
        <w:spacing w:before="120" w:after="120"/>
        <w:rPr>
          <w:sz w:val="20"/>
          <w:szCs w:val="20"/>
        </w:rPr>
      </w:pPr>
      <w:r>
        <w:rPr>
          <w:sz w:val="20"/>
          <w:szCs w:val="20"/>
        </w:rPr>
        <w:t>RRC signaling to provision radio resource</w:t>
      </w:r>
      <w:r>
        <w:rPr>
          <w:sz w:val="20"/>
          <w:szCs w:val="20"/>
        </w:rPr>
        <w:t>s at the UE reader for A-IoT operation</w:t>
      </w:r>
    </w:p>
    <w:p w:rsidR="00A05BC1" w:rsidRDefault="003B32BD">
      <w:pPr>
        <w:pStyle w:val="af9"/>
        <w:numPr>
          <w:ilvl w:val="1"/>
          <w:numId w:val="9"/>
        </w:numPr>
        <w:spacing w:before="120" w:after="120"/>
        <w:rPr>
          <w:sz w:val="20"/>
          <w:szCs w:val="20"/>
        </w:rPr>
      </w:pPr>
      <w:r>
        <w:rPr>
          <w:sz w:val="20"/>
          <w:szCs w:val="20"/>
        </w:rPr>
        <w:t>Dedicated signaling in RRC_CONNECTED state for configuring A-IoT radio resources</w:t>
      </w:r>
    </w:p>
    <w:p w:rsidR="00A05BC1" w:rsidRDefault="003B32BD">
      <w:pPr>
        <w:pStyle w:val="af9"/>
        <w:numPr>
          <w:ilvl w:val="1"/>
          <w:numId w:val="9"/>
        </w:numPr>
        <w:spacing w:before="120" w:after="120"/>
        <w:rPr>
          <w:sz w:val="20"/>
          <w:szCs w:val="20"/>
        </w:rPr>
      </w:pPr>
      <w:r>
        <w:rPr>
          <w:sz w:val="20"/>
          <w:szCs w:val="20"/>
        </w:rPr>
        <w:t>Procedures to enable the UE to release the A-IoT resources upon cell change or moving to out of coverage</w:t>
      </w:r>
    </w:p>
    <w:p w:rsidR="00A05BC1" w:rsidRDefault="003B32BD">
      <w:pPr>
        <w:pStyle w:val="af9"/>
        <w:numPr>
          <w:ilvl w:val="1"/>
          <w:numId w:val="9"/>
        </w:numPr>
        <w:spacing w:before="120" w:after="120"/>
        <w:rPr>
          <w:sz w:val="20"/>
          <w:szCs w:val="20"/>
        </w:rPr>
      </w:pPr>
      <w:r>
        <w:rPr>
          <w:sz w:val="20"/>
          <w:szCs w:val="20"/>
        </w:rPr>
        <w:t xml:space="preserve">UE assistance information from </w:t>
      </w:r>
      <w:r>
        <w:rPr>
          <w:sz w:val="20"/>
          <w:szCs w:val="20"/>
        </w:rPr>
        <w:t>the reader to gNB for configuration of A-IoT radio resources</w:t>
      </w:r>
    </w:p>
    <w:p w:rsidR="00A05BC1" w:rsidRDefault="003B32BD">
      <w:pPr>
        <w:pStyle w:val="af9"/>
        <w:numPr>
          <w:ilvl w:val="1"/>
          <w:numId w:val="9"/>
        </w:numPr>
        <w:spacing w:before="120" w:after="120"/>
        <w:rPr>
          <w:sz w:val="20"/>
          <w:szCs w:val="20"/>
        </w:rPr>
      </w:pPr>
      <w:r>
        <w:rPr>
          <w:sz w:val="20"/>
          <w:szCs w:val="20"/>
        </w:rPr>
        <w:lastRenderedPageBreak/>
        <w:t>As a second priority, support operation of A-IoT whilst the UE reader is in one of RRC_INACTIVE state or RRC_IDLE state (RAN2 to down select between INACTIVE and IDLE states)</w:t>
      </w:r>
    </w:p>
    <w:p w:rsidR="00A05BC1" w:rsidRDefault="003B32BD">
      <w:pPr>
        <w:spacing w:before="120" w:after="120"/>
        <w:rPr>
          <w:rFonts w:eastAsiaTheme="minorEastAsia"/>
          <w:sz w:val="20"/>
        </w:rPr>
      </w:pPr>
      <w:r>
        <w:rPr>
          <w:rFonts w:eastAsiaTheme="minorEastAsia"/>
          <w:sz w:val="20"/>
        </w:rPr>
        <w:t>If we manage to spec</w:t>
      </w:r>
      <w:r>
        <w:rPr>
          <w:rFonts w:eastAsiaTheme="minorEastAsia"/>
          <w:sz w:val="20"/>
        </w:rPr>
        <w:t>ify all the above aspects in Rel-19, we still see room for further enhancement to improve the efficiency, e.g. to identify the inventory area or scope of each UE reader and select appropriate UE reader to page device.</w:t>
      </w:r>
    </w:p>
    <w:p w:rsidR="00A05BC1" w:rsidRDefault="003B32BD">
      <w:pPr>
        <w:pStyle w:val="YJ-Proposal"/>
        <w:numPr>
          <w:ilvl w:val="0"/>
          <w:numId w:val="7"/>
        </w:numPr>
        <w:spacing w:before="120" w:after="120"/>
        <w:jc w:val="both"/>
        <w:rPr>
          <w:lang w:val="en-US" w:eastAsia="zh-CN"/>
        </w:rPr>
      </w:pPr>
      <w:r>
        <w:rPr>
          <w:lang w:val="en-US" w:eastAsia="zh-CN"/>
        </w:rPr>
        <w:t>For TP#2, UE reader inventory area man</w:t>
      </w:r>
      <w:r>
        <w:rPr>
          <w:lang w:val="en-US" w:eastAsia="zh-CN"/>
        </w:rPr>
        <w:t>agement for network to identify the inventory area of each UE reader and select the appropriate UE reader can be considered in Rel-20, if TP#2 is supported and specified in Rel-19.</w:t>
      </w:r>
    </w:p>
    <w:p w:rsidR="00A05BC1" w:rsidRDefault="003B32BD">
      <w:pPr>
        <w:pStyle w:val="1"/>
        <w:spacing w:before="120" w:after="120"/>
        <w:ind w:left="0"/>
        <w:rPr>
          <w:rFonts w:eastAsia="宋体"/>
        </w:rPr>
      </w:pPr>
      <w:r>
        <w:rPr>
          <w:rFonts w:eastAsia="宋体"/>
        </w:rPr>
        <w:t>Conclusion</w:t>
      </w:r>
    </w:p>
    <w:p w:rsidR="00A05BC1" w:rsidRDefault="003B32BD">
      <w:pPr>
        <w:spacing w:before="120" w:after="120"/>
        <w:rPr>
          <w:sz w:val="20"/>
        </w:rPr>
      </w:pPr>
      <w:r>
        <w:rPr>
          <w:sz w:val="20"/>
        </w:rPr>
        <w:t>Based on the above</w:t>
      </w:r>
      <w:r>
        <w:rPr>
          <w:rFonts w:hint="eastAsia"/>
          <w:sz w:val="20"/>
        </w:rPr>
        <w:t xml:space="preserve"> </w:t>
      </w:r>
      <w:r>
        <w:rPr>
          <w:sz w:val="20"/>
        </w:rPr>
        <w:t xml:space="preserve">discussion about Rel-20 </w:t>
      </w:r>
      <w:r>
        <w:rPr>
          <w:rFonts w:hint="eastAsia"/>
          <w:sz w:val="20"/>
        </w:rPr>
        <w:t>A-IoT</w:t>
      </w:r>
      <w:r>
        <w:rPr>
          <w:sz w:val="20"/>
        </w:rPr>
        <w:t xml:space="preserve"> </w:t>
      </w:r>
      <w:r>
        <w:rPr>
          <w:rFonts w:hint="eastAsia"/>
          <w:sz w:val="20"/>
        </w:rPr>
        <w:t>scope</w:t>
      </w:r>
      <w:r>
        <w:rPr>
          <w:sz w:val="20"/>
        </w:rPr>
        <w:t xml:space="preserve">, we have </w:t>
      </w:r>
      <w:r>
        <w:rPr>
          <w:sz w:val="20"/>
        </w:rPr>
        <w:t>the following observations and proposals:</w:t>
      </w:r>
    </w:p>
    <w:p w:rsidR="00A05BC1" w:rsidRDefault="003B32BD">
      <w:pPr>
        <w:pStyle w:val="YJ-Proposal"/>
        <w:numPr>
          <w:ilvl w:val="0"/>
          <w:numId w:val="0"/>
        </w:numPr>
        <w:spacing w:before="120" w:after="120"/>
        <w:jc w:val="both"/>
        <w:rPr>
          <w:lang w:val="en-US" w:eastAsia="zh-CN"/>
        </w:rPr>
      </w:pPr>
      <w:r>
        <w:rPr>
          <w:lang w:val="en-US" w:eastAsia="zh-CN"/>
        </w:rPr>
        <w:t xml:space="preserve">Observation 1: </w:t>
      </w:r>
      <w:r>
        <w:rPr>
          <w:lang w:val="en-US" w:eastAsia="zh-CN"/>
        </w:rPr>
        <w:tab/>
        <w:t>The Rel-19 A-IoT harmonized design is based on device 1/2a with RF-ED receivers.</w:t>
      </w:r>
    </w:p>
    <w:p w:rsidR="00A05BC1" w:rsidRDefault="003B32BD">
      <w:pPr>
        <w:pStyle w:val="YJ-Proposal"/>
        <w:numPr>
          <w:ilvl w:val="0"/>
          <w:numId w:val="0"/>
        </w:numPr>
        <w:spacing w:before="120" w:after="120"/>
        <w:jc w:val="both"/>
        <w:rPr>
          <w:lang w:val="en-US" w:eastAsia="zh-CN"/>
        </w:rPr>
      </w:pPr>
      <w:r>
        <w:rPr>
          <w:lang w:val="en-US" w:eastAsia="zh-CN"/>
        </w:rPr>
        <w:t xml:space="preserve">Observation 2: </w:t>
      </w:r>
      <w:r>
        <w:rPr>
          <w:lang w:val="en-US" w:eastAsia="zh-CN"/>
        </w:rPr>
        <w:tab/>
        <w:t>For device 1/2a, the co-existence between A-IoT and NR, different A-IoT systems are based on deployme</w:t>
      </w:r>
      <w:r>
        <w:rPr>
          <w:lang w:val="en-US" w:eastAsia="zh-CN"/>
        </w:rPr>
        <w:t>nt (indoor/outdoor separation) and gNB implementation.</w:t>
      </w:r>
    </w:p>
    <w:p w:rsidR="00A05BC1" w:rsidRDefault="003B32BD">
      <w:pPr>
        <w:pStyle w:val="YJ-Proposal"/>
        <w:numPr>
          <w:ilvl w:val="0"/>
          <w:numId w:val="0"/>
        </w:numPr>
        <w:spacing w:before="120" w:after="120"/>
        <w:jc w:val="both"/>
        <w:rPr>
          <w:lang w:val="en-US" w:eastAsia="zh-CN"/>
        </w:rPr>
      </w:pPr>
      <w:r>
        <w:rPr>
          <w:lang w:val="en-US" w:eastAsia="zh-CN"/>
        </w:rPr>
        <w:t xml:space="preserve">Observation 3: </w:t>
      </w:r>
      <w:r>
        <w:rPr>
          <w:lang w:val="en-US" w:eastAsia="zh-CN"/>
        </w:rPr>
        <w:tab/>
        <w:t>DO-A use case cannot be supported with the current design in the Rel-19 AIOT SI.</w:t>
      </w:r>
    </w:p>
    <w:p w:rsidR="00A05BC1" w:rsidRDefault="00A05BC1">
      <w:pPr>
        <w:pStyle w:val="YJ-Proposal"/>
        <w:numPr>
          <w:ilvl w:val="0"/>
          <w:numId w:val="0"/>
        </w:numPr>
        <w:spacing w:before="120" w:after="120"/>
        <w:jc w:val="both"/>
        <w:rPr>
          <w:lang w:val="en-US" w:eastAsia="zh-CN"/>
        </w:rPr>
      </w:pPr>
    </w:p>
    <w:p w:rsidR="00A05BC1" w:rsidRDefault="003B32BD">
      <w:pPr>
        <w:pStyle w:val="YJ-Proposal"/>
        <w:numPr>
          <w:ilvl w:val="0"/>
          <w:numId w:val="0"/>
        </w:numPr>
        <w:spacing w:before="120" w:after="120"/>
        <w:jc w:val="both"/>
        <w:rPr>
          <w:lang w:val="en-US" w:eastAsia="zh-CN"/>
        </w:rPr>
      </w:pPr>
      <w:r>
        <w:rPr>
          <w:lang w:val="en-US" w:eastAsia="zh-CN"/>
        </w:rPr>
        <w:t>Proposal 1:</w:t>
      </w:r>
      <w:r>
        <w:rPr>
          <w:lang w:val="en-US" w:eastAsia="zh-CN"/>
        </w:rPr>
        <w:tab/>
        <w:t xml:space="preserve">Rel-20 A-IoT should support outdoor inventory/command/sensor/positioning. FFS enhancements </w:t>
      </w:r>
      <w:r>
        <w:rPr>
          <w:lang w:val="en-US" w:eastAsia="zh-CN"/>
        </w:rPr>
        <w:t>on indoor scenarios.</w:t>
      </w:r>
    </w:p>
    <w:p w:rsidR="00A05BC1" w:rsidRDefault="003B32BD">
      <w:pPr>
        <w:pStyle w:val="YJ-Proposal"/>
        <w:numPr>
          <w:ilvl w:val="0"/>
          <w:numId w:val="0"/>
        </w:numPr>
        <w:spacing w:before="120" w:after="120"/>
        <w:jc w:val="both"/>
        <w:rPr>
          <w:lang w:val="en-US" w:eastAsia="zh-CN"/>
        </w:rPr>
      </w:pPr>
      <w:r>
        <w:rPr>
          <w:lang w:val="en-US" w:eastAsia="zh-CN"/>
        </w:rPr>
        <w:t>Proposal 2:</w:t>
      </w:r>
      <w:r>
        <w:rPr>
          <w:lang w:val="en-US" w:eastAsia="zh-CN"/>
        </w:rPr>
        <w:tab/>
        <w:t xml:space="preserve">Solutions to enable better co-existence between A-IoT and another A-IoT/NR </w:t>
      </w:r>
      <w:r>
        <w:rPr>
          <w:rFonts w:hint="eastAsia"/>
          <w:lang w:val="en-US" w:eastAsia="zh-CN"/>
        </w:rPr>
        <w:t>can be considered</w:t>
      </w:r>
      <w:r>
        <w:rPr>
          <w:lang w:val="en-US" w:eastAsia="zh-CN"/>
        </w:rPr>
        <w:t>.</w:t>
      </w:r>
    </w:p>
    <w:p w:rsidR="00A05BC1" w:rsidRDefault="003B32BD">
      <w:pPr>
        <w:pStyle w:val="YJ-Proposal"/>
        <w:numPr>
          <w:ilvl w:val="0"/>
          <w:numId w:val="0"/>
        </w:numPr>
        <w:spacing w:before="120" w:after="120"/>
        <w:jc w:val="both"/>
        <w:rPr>
          <w:lang w:val="en-US" w:eastAsia="zh-CN"/>
        </w:rPr>
      </w:pPr>
      <w:r>
        <w:rPr>
          <w:lang w:val="en-US" w:eastAsia="zh-CN"/>
        </w:rPr>
        <w:t>Proposal 3:</w:t>
      </w:r>
      <w:r>
        <w:rPr>
          <w:lang w:val="en-US" w:eastAsia="zh-CN"/>
        </w:rPr>
        <w:tab/>
        <w:t xml:space="preserve">At least device 2b can be considered for </w:t>
      </w:r>
      <w:r>
        <w:rPr>
          <w:lang w:val="en-US" w:eastAsia="zh-CN"/>
        </w:rPr>
        <w:t>outdoor scenario</w:t>
      </w:r>
      <w:r w:rsidR="00405325">
        <w:rPr>
          <w:lang w:val="en-US" w:eastAsia="zh-CN"/>
        </w:rPr>
        <w:t xml:space="preserve"> in Rel-20</w:t>
      </w:r>
      <w:r>
        <w:rPr>
          <w:lang w:val="en-US" w:eastAsia="zh-CN"/>
        </w:rPr>
        <w:t>.</w:t>
      </w:r>
    </w:p>
    <w:p w:rsidR="00A05BC1" w:rsidRDefault="003B32BD">
      <w:pPr>
        <w:pStyle w:val="YJ-Proposal"/>
        <w:numPr>
          <w:ilvl w:val="0"/>
          <w:numId w:val="0"/>
        </w:numPr>
        <w:spacing w:before="120" w:after="120"/>
        <w:jc w:val="both"/>
        <w:rPr>
          <w:lang w:val="en-US" w:eastAsia="zh-CN"/>
        </w:rPr>
      </w:pPr>
      <w:r>
        <w:rPr>
          <w:lang w:val="en-US" w:eastAsia="zh-CN"/>
        </w:rPr>
        <w:t>Proposal 4:</w:t>
      </w:r>
      <w:r>
        <w:rPr>
          <w:lang w:val="en-US" w:eastAsia="zh-CN"/>
        </w:rPr>
        <w:tab/>
        <w:t xml:space="preserve">Techniques to increase the A-IoT </w:t>
      </w:r>
      <w:r>
        <w:rPr>
          <w:lang w:val="en-US" w:eastAsia="zh-CN"/>
        </w:rPr>
        <w:t>coverage, capacity, spectral efficiency should be considered in Rel-20 outdoor scenario.</w:t>
      </w:r>
    </w:p>
    <w:p w:rsidR="00A05BC1" w:rsidRDefault="003B32BD">
      <w:pPr>
        <w:pStyle w:val="YJ-Proposal"/>
        <w:numPr>
          <w:ilvl w:val="0"/>
          <w:numId w:val="0"/>
        </w:numPr>
        <w:spacing w:before="120" w:after="120"/>
        <w:jc w:val="both"/>
        <w:rPr>
          <w:lang w:val="en-US" w:eastAsia="zh-CN"/>
        </w:rPr>
      </w:pPr>
      <w:r>
        <w:rPr>
          <w:lang w:val="en-US" w:eastAsia="zh-CN"/>
        </w:rPr>
        <w:t>Proposal 5:</w:t>
      </w:r>
      <w:r>
        <w:rPr>
          <w:lang w:val="en-US" w:eastAsia="zh-CN"/>
        </w:rPr>
        <w:tab/>
        <w:t>Techniques to provide the target positioning accuracy in TR 38.848 should be considered in Rel-20.</w:t>
      </w:r>
    </w:p>
    <w:p w:rsidR="00A05BC1" w:rsidRDefault="003B32BD">
      <w:pPr>
        <w:pStyle w:val="YJ-Proposal"/>
        <w:numPr>
          <w:ilvl w:val="0"/>
          <w:numId w:val="0"/>
        </w:numPr>
        <w:spacing w:before="120" w:after="120"/>
        <w:jc w:val="both"/>
        <w:rPr>
          <w:lang w:val="en-US" w:eastAsia="zh-CN"/>
        </w:rPr>
      </w:pPr>
      <w:r>
        <w:rPr>
          <w:lang w:val="en-US" w:eastAsia="zh-CN"/>
        </w:rPr>
        <w:t>Proposal 6:</w:t>
      </w:r>
      <w:r>
        <w:rPr>
          <w:lang w:val="en-US" w:eastAsia="zh-CN"/>
        </w:rPr>
        <w:tab/>
        <w:t>Support DO-A traffic type in Rel-20 and spec</w:t>
      </w:r>
      <w:r>
        <w:rPr>
          <w:lang w:val="en-US" w:eastAsia="zh-CN"/>
        </w:rPr>
        <w:t>ify the corresponding configuration and procedures.</w:t>
      </w:r>
    </w:p>
    <w:p w:rsidR="00A05BC1" w:rsidRDefault="003B32BD">
      <w:pPr>
        <w:pStyle w:val="YJ-Proposal"/>
        <w:numPr>
          <w:ilvl w:val="0"/>
          <w:numId w:val="0"/>
        </w:numPr>
        <w:spacing w:before="120" w:after="120"/>
        <w:jc w:val="both"/>
        <w:rPr>
          <w:lang w:val="en-US" w:eastAsia="zh-CN"/>
        </w:rPr>
      </w:pPr>
      <w:r>
        <w:rPr>
          <w:lang w:val="en-US" w:eastAsia="zh-CN"/>
        </w:rPr>
        <w:t>Proposal 7:</w:t>
      </w:r>
      <w:r>
        <w:rPr>
          <w:lang w:val="en-US" w:eastAsia="zh-CN"/>
        </w:rPr>
        <w:tab/>
        <w:t>Deterministic access occasion selection can be considered in Rel-20 to reduce the access collision for multi-device access case.</w:t>
      </w:r>
    </w:p>
    <w:p w:rsidR="00A05BC1" w:rsidRDefault="003B32BD">
      <w:pPr>
        <w:pStyle w:val="YJ-Proposal"/>
        <w:numPr>
          <w:ilvl w:val="0"/>
          <w:numId w:val="0"/>
        </w:numPr>
        <w:spacing w:before="120" w:after="120"/>
        <w:jc w:val="both"/>
        <w:rPr>
          <w:lang w:val="en-US" w:eastAsia="zh-CN"/>
        </w:rPr>
      </w:pPr>
      <w:r>
        <w:rPr>
          <w:lang w:val="en-US" w:eastAsia="zh-CN"/>
        </w:rPr>
        <w:t>Proposal 8:</w:t>
      </w:r>
      <w:r>
        <w:rPr>
          <w:lang w:val="en-US" w:eastAsia="zh-CN"/>
        </w:rPr>
        <w:tab/>
        <w:t>Reducing duplicated response from the same device f</w:t>
      </w:r>
      <w:r>
        <w:rPr>
          <w:lang w:val="en-US" w:eastAsia="zh-CN"/>
        </w:rPr>
        <w:t>or the same service request should be considered in Rel-20, if not specified in Rel-19.</w:t>
      </w:r>
    </w:p>
    <w:p w:rsidR="00A05BC1" w:rsidRDefault="003B32BD">
      <w:pPr>
        <w:pStyle w:val="YJ-Proposal"/>
        <w:numPr>
          <w:ilvl w:val="0"/>
          <w:numId w:val="0"/>
        </w:numPr>
        <w:spacing w:before="120" w:after="120"/>
        <w:jc w:val="both"/>
        <w:rPr>
          <w:lang w:val="en-US" w:eastAsia="zh-CN"/>
        </w:rPr>
      </w:pPr>
      <w:r>
        <w:rPr>
          <w:lang w:val="en-US" w:eastAsia="zh-CN"/>
        </w:rPr>
        <w:t>Proposal 9:</w:t>
      </w:r>
      <w:r>
        <w:rPr>
          <w:lang w:val="en-US" w:eastAsia="zh-CN"/>
        </w:rPr>
        <w:tab/>
        <w:t>For TP#2, UE reader inventory area management for network to identify the inventory area of each UE reader and select the appropriate UE reader can be consi</w:t>
      </w:r>
      <w:r>
        <w:rPr>
          <w:lang w:val="en-US" w:eastAsia="zh-CN"/>
        </w:rPr>
        <w:t>dered in Rel-20, if TP#2 is supported and specified in Rel-19.</w:t>
      </w:r>
    </w:p>
    <w:p w:rsidR="00A05BC1" w:rsidRDefault="003B32BD">
      <w:pPr>
        <w:pStyle w:val="1"/>
        <w:spacing w:before="120" w:after="120"/>
        <w:ind w:left="0"/>
        <w:rPr>
          <w:rFonts w:eastAsia="宋体"/>
        </w:rPr>
      </w:pPr>
      <w:r>
        <w:rPr>
          <w:rFonts w:eastAsia="宋体" w:hint="eastAsia"/>
        </w:rPr>
        <w:t>Reference</w:t>
      </w:r>
      <w:r>
        <w:rPr>
          <w:rFonts w:eastAsia="宋体"/>
        </w:rPr>
        <w:t>s</w:t>
      </w:r>
    </w:p>
    <w:p w:rsidR="00A05BC1" w:rsidRDefault="003B32BD">
      <w:pPr>
        <w:spacing w:before="120" w:after="120"/>
        <w:rPr>
          <w:sz w:val="20"/>
        </w:rPr>
      </w:pPr>
      <w:r>
        <w:rPr>
          <w:sz w:val="20"/>
        </w:rPr>
        <w:t>[1] RP-234058 New SID: Study on solutions for Ambient IoT (Internet of Things) in NR</w:t>
      </w:r>
    </w:p>
    <w:p w:rsidR="00A05BC1" w:rsidRDefault="003B32BD">
      <w:pPr>
        <w:spacing w:before="120" w:after="120"/>
        <w:rPr>
          <w:sz w:val="20"/>
        </w:rPr>
      </w:pPr>
      <w:r>
        <w:rPr>
          <w:sz w:val="20"/>
        </w:rPr>
        <w:t xml:space="preserve">[2] </w:t>
      </w:r>
      <w:r>
        <w:rPr>
          <w:rFonts w:hint="eastAsia"/>
          <w:sz w:val="20"/>
        </w:rPr>
        <w:t xml:space="preserve">TR38.769. </w:t>
      </w:r>
      <w:r>
        <w:rPr>
          <w:sz w:val="20"/>
        </w:rPr>
        <w:t>Study on solutions for ambient IoT (Internet of Things)</w:t>
      </w:r>
      <w:r>
        <w:rPr>
          <w:rFonts w:hint="eastAsia"/>
          <w:sz w:val="20"/>
        </w:rPr>
        <w:t xml:space="preserve"> </w:t>
      </w:r>
      <w:r>
        <w:rPr>
          <w:sz w:val="20"/>
        </w:rPr>
        <w:t>(Release 19)</w:t>
      </w:r>
    </w:p>
    <w:p w:rsidR="00A05BC1" w:rsidRDefault="003B32BD">
      <w:pPr>
        <w:spacing w:before="120" w:after="120"/>
        <w:rPr>
          <w:sz w:val="20"/>
        </w:rPr>
      </w:pPr>
      <w:r>
        <w:rPr>
          <w:sz w:val="20"/>
        </w:rPr>
        <w:t xml:space="preserve">[3] TR38.848. </w:t>
      </w:r>
      <w:r>
        <w:rPr>
          <w:sz w:val="20"/>
        </w:rPr>
        <w:t>Study on Ambient IoT (Internet of Things) in RAN (Release 18)</w:t>
      </w:r>
    </w:p>
    <w:p w:rsidR="00A05BC1" w:rsidRDefault="00A05BC1">
      <w:pPr>
        <w:spacing w:before="120" w:after="120"/>
        <w:rPr>
          <w:rFonts w:ascii="Arial" w:hAnsi="Arial" w:cs="Arial"/>
          <w:sz w:val="20"/>
        </w:rPr>
      </w:pPr>
    </w:p>
    <w:p w:rsidR="00A05BC1" w:rsidRDefault="003B32BD">
      <w:pPr>
        <w:pStyle w:val="1"/>
        <w:spacing w:before="120" w:after="120"/>
        <w:ind w:left="0"/>
        <w:rPr>
          <w:rFonts w:eastAsia="宋体"/>
        </w:rPr>
      </w:pPr>
      <w:r>
        <w:rPr>
          <w:rFonts w:eastAsia="宋体" w:hint="eastAsia"/>
        </w:rPr>
        <w:lastRenderedPageBreak/>
        <w:t>Appendix</w:t>
      </w:r>
    </w:p>
    <w:p w:rsidR="00A05BC1" w:rsidRDefault="003B32BD">
      <w:pPr>
        <w:pStyle w:val="TH"/>
        <w:spacing w:before="120" w:after="120"/>
        <w:rPr>
          <w:rFonts w:ascii="Times New Roman" w:hAnsi="Times New Roman"/>
        </w:rPr>
      </w:pPr>
      <w:r>
        <w:rPr>
          <w:rFonts w:ascii="Times New Roman" w:hAnsi="Times New Roman"/>
        </w:rPr>
        <w:t>Table 4.1.1-1</w:t>
      </w:r>
      <w:r>
        <w:rPr>
          <w:rFonts w:ascii="Times New Roman" w:eastAsia="宋体" w:hAnsi="Times New Roman"/>
          <w:lang w:val="en-US"/>
        </w:rPr>
        <w:t xml:space="preserve"> in TR38.848</w:t>
      </w:r>
      <w:r>
        <w:rPr>
          <w:rFonts w:ascii="Times New Roman" w:hAnsi="Times New Roman"/>
        </w:rPr>
        <w:t>: Mapping between RAN representative use cases and SA1 use cases</w:t>
      </w:r>
    </w:p>
    <w:p w:rsidR="00A05BC1" w:rsidRDefault="00A05BC1">
      <w:pPr>
        <w:spacing w:before="120" w:after="120"/>
      </w:pPr>
    </w:p>
    <w:p w:rsidR="00A05BC1" w:rsidRDefault="00A05BC1">
      <w:pPr>
        <w:spacing w:before="120" w:after="120"/>
        <w:rPr>
          <w:rFonts w:ascii="Arial" w:hAnsi="Arial" w:cs="Arial"/>
          <w:sz w:val="20"/>
        </w:rPr>
      </w:pPr>
    </w:p>
    <w:tbl>
      <w:tblPr>
        <w:tblStyle w:val="TableGrid1"/>
        <w:tblW w:w="0" w:type="auto"/>
        <w:jc w:val="center"/>
        <w:tblLayout w:type="fixed"/>
        <w:tblLook w:val="04A0" w:firstRow="1" w:lastRow="0" w:firstColumn="1" w:lastColumn="0" w:noHBand="0" w:noVBand="1"/>
      </w:tblPr>
      <w:tblGrid>
        <w:gridCol w:w="2551"/>
        <w:gridCol w:w="5669"/>
      </w:tblGrid>
      <w:tr w:rsidR="00A05BC1">
        <w:trPr>
          <w:jc w:val="center"/>
        </w:trPr>
        <w:tc>
          <w:tcPr>
            <w:tcW w:w="2551" w:type="dxa"/>
          </w:tcPr>
          <w:p w:rsidR="00A05BC1" w:rsidRDefault="003B32BD">
            <w:pPr>
              <w:pStyle w:val="TAH"/>
              <w:spacing w:before="120" w:after="120" w:line="240" w:lineRule="auto"/>
              <w:rPr>
                <w:rFonts w:ascii="Times New Roman" w:hAnsi="Times New Roman"/>
                <w:snapToGrid w:val="0"/>
                <w:szCs w:val="18"/>
              </w:rPr>
            </w:pPr>
            <w:r>
              <w:rPr>
                <w:rFonts w:ascii="Times New Roman" w:hAnsi="Times New Roman"/>
                <w:snapToGrid w:val="0"/>
                <w:szCs w:val="18"/>
              </w:rPr>
              <w:lastRenderedPageBreak/>
              <w:t>rUC</w:t>
            </w:r>
          </w:p>
        </w:tc>
        <w:tc>
          <w:tcPr>
            <w:tcW w:w="5669" w:type="dxa"/>
          </w:tcPr>
          <w:p w:rsidR="00A05BC1" w:rsidRDefault="003B32BD">
            <w:pPr>
              <w:pStyle w:val="TAH"/>
              <w:spacing w:before="120" w:after="120" w:line="240" w:lineRule="auto"/>
              <w:rPr>
                <w:rFonts w:ascii="Times New Roman" w:hAnsi="Times New Roman"/>
                <w:snapToGrid w:val="0"/>
                <w:szCs w:val="18"/>
              </w:rPr>
            </w:pPr>
            <w:r>
              <w:rPr>
                <w:rFonts w:ascii="Times New Roman" w:hAnsi="Times New Roman"/>
                <w:snapToGrid w:val="0"/>
                <w:szCs w:val="18"/>
              </w:rPr>
              <w:t>Applicable SA1 UCs / traffic scenarios</w:t>
            </w:r>
          </w:p>
        </w:tc>
      </w:tr>
      <w:tr w:rsidR="00A05BC1">
        <w:trPr>
          <w:jc w:val="center"/>
        </w:trPr>
        <w:tc>
          <w:tcPr>
            <w:tcW w:w="2551"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rUC1: Indoor inventory</w:t>
            </w:r>
          </w:p>
        </w:tc>
        <w:tc>
          <w:tcPr>
            <w:tcW w:w="5669"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 Automated warehousing</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 Medical instruments inventory management and positioning</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5.4 Non-Public Network for logistics</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5.5 Automobile manufacturing</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5.7 Airport terminal / shipping port</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5.15 Smart laundry</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5.16 Automated supply chain distribution</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5.18 Fresh food supply chain</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w:t>
            </w:r>
            <w:r>
              <w:rPr>
                <w:rFonts w:ascii="Times New Roman" w:hAnsi="Times New Roman"/>
                <w:snapToGrid w:val="0"/>
                <w:szCs w:val="18"/>
              </w:rPr>
              <w:t>27 End-to-end logistics</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6.1 Flower auction</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6.3 Electronic shelf label</w:t>
            </w:r>
          </w:p>
        </w:tc>
      </w:tr>
      <w:tr w:rsidR="00A05BC1">
        <w:trPr>
          <w:jc w:val="center"/>
        </w:trPr>
        <w:tc>
          <w:tcPr>
            <w:tcW w:w="2551"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rUC2: Indoor sensor</w:t>
            </w:r>
          </w:p>
        </w:tc>
        <w:tc>
          <w:tcPr>
            <w:tcW w:w="5669"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5.6 Smart homes</w:t>
            </w:r>
          </w:p>
          <w:p w:rsidR="00A05BC1" w:rsidRDefault="003B32BD">
            <w:pPr>
              <w:pStyle w:val="TAL"/>
              <w:spacing w:before="120" w:after="120" w:line="240" w:lineRule="auto"/>
              <w:rPr>
                <w:rFonts w:ascii="Times New Roman" w:hAnsi="Times New Roman"/>
                <w:snapToGrid w:val="0"/>
                <w:szCs w:val="18"/>
                <w:lang w:eastAsia="en-GB"/>
              </w:rPr>
            </w:pPr>
            <w:r>
              <w:rPr>
                <w:rFonts w:ascii="Times New Roman" w:hAnsi="Times New Roman"/>
                <w:snapToGrid w:val="0"/>
                <w:szCs w:val="18"/>
              </w:rPr>
              <w:t xml:space="preserve">5.13 </w:t>
            </w:r>
            <w:r>
              <w:rPr>
                <w:rFonts w:ascii="Times New Roman" w:hAnsi="Times New Roman"/>
                <w:snapToGrid w:val="0"/>
                <w:szCs w:val="18"/>
                <w:lang w:eastAsia="en-GB"/>
              </w:rPr>
              <w:t>Base station machine room environmental supervision</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5.15 Smart laundry</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5.20 Smart agriculture</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5.23 Smart pig farm</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6.2 Cow stable</w:t>
            </w:r>
          </w:p>
        </w:tc>
      </w:tr>
      <w:tr w:rsidR="00A05BC1">
        <w:trPr>
          <w:jc w:val="center"/>
        </w:trPr>
        <w:tc>
          <w:tcPr>
            <w:tcW w:w="2551"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rUC3: Indoor p</w:t>
            </w:r>
            <w:r>
              <w:rPr>
                <w:rFonts w:ascii="Times New Roman" w:hAnsi="Times New Roman"/>
                <w:snapToGrid w:val="0"/>
                <w:szCs w:val="18"/>
              </w:rPr>
              <w:t>ositioning</w:t>
            </w:r>
          </w:p>
        </w:tc>
        <w:tc>
          <w:tcPr>
            <w:tcW w:w="5669"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5.8 Finding Remote Lost Item</w:t>
            </w:r>
          </w:p>
          <w:p w:rsidR="00A05BC1" w:rsidRDefault="003B32BD">
            <w:pPr>
              <w:pStyle w:val="TAL"/>
              <w:spacing w:before="120" w:after="120" w:line="240" w:lineRule="auto"/>
              <w:rPr>
                <w:rFonts w:ascii="Times New Roman" w:eastAsia="Calibri" w:hAnsi="Times New Roman"/>
                <w:snapToGrid w:val="0"/>
                <w:szCs w:val="18"/>
              </w:rPr>
            </w:pPr>
            <w:r>
              <w:rPr>
                <w:rFonts w:ascii="Times New Roman" w:eastAsia="Calibri" w:hAnsi="Times New Roman"/>
                <w:snapToGrid w:val="0"/>
                <w:szCs w:val="18"/>
              </w:rPr>
              <w:t>5.9 Location service</w:t>
            </w:r>
          </w:p>
          <w:p w:rsidR="00A05BC1" w:rsidRDefault="003B32BD">
            <w:pPr>
              <w:pStyle w:val="TAL"/>
              <w:spacing w:before="120" w:after="120" w:line="240" w:lineRule="auto"/>
              <w:rPr>
                <w:rFonts w:ascii="Times New Roman" w:hAnsi="Times New Roman"/>
                <w:snapToGrid w:val="0"/>
                <w:szCs w:val="18"/>
                <w:lang w:eastAsia="ko-KR"/>
              </w:rPr>
            </w:pPr>
            <w:r>
              <w:rPr>
                <w:rFonts w:ascii="Times New Roman" w:hAnsi="Times New Roman"/>
                <w:snapToGrid w:val="0"/>
                <w:szCs w:val="18"/>
              </w:rPr>
              <w:t xml:space="preserve">5.10 </w:t>
            </w:r>
            <w:r>
              <w:rPr>
                <w:rFonts w:ascii="Times New Roman" w:hAnsi="Times New Roman"/>
                <w:snapToGrid w:val="0"/>
                <w:szCs w:val="18"/>
                <w:lang w:eastAsia="ko-KR"/>
              </w:rPr>
              <w:t>Ranging in a home</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5.12 Personal belongings finding</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5.14 Positioning in shopping centre</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5.21 Museum Guide</w:t>
            </w:r>
          </w:p>
        </w:tc>
      </w:tr>
      <w:tr w:rsidR="00A05BC1">
        <w:trPr>
          <w:jc w:val="center"/>
        </w:trPr>
        <w:tc>
          <w:tcPr>
            <w:tcW w:w="2551"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rUC4: Indoor command</w:t>
            </w:r>
          </w:p>
        </w:tc>
        <w:tc>
          <w:tcPr>
            <w:tcW w:w="5669" w:type="dxa"/>
          </w:tcPr>
          <w:p w:rsidR="00A05BC1" w:rsidRDefault="003B32BD">
            <w:pPr>
              <w:pStyle w:val="TAL"/>
              <w:spacing w:before="120" w:after="120" w:line="240" w:lineRule="auto"/>
              <w:rPr>
                <w:rFonts w:ascii="Times New Roman" w:hAnsi="Times New Roman"/>
                <w:bCs/>
                <w:snapToGrid w:val="0"/>
                <w:szCs w:val="18"/>
              </w:rPr>
            </w:pPr>
            <w:r>
              <w:rPr>
                <w:rFonts w:ascii="Times New Roman" w:hAnsi="Times New Roman"/>
                <w:snapToGrid w:val="0"/>
                <w:szCs w:val="18"/>
              </w:rPr>
              <w:t xml:space="preserve">5.11 </w:t>
            </w:r>
            <w:r>
              <w:rPr>
                <w:rFonts w:ascii="Times New Roman" w:hAnsi="Times New Roman"/>
                <w:bCs/>
                <w:snapToGrid w:val="0"/>
                <w:szCs w:val="18"/>
              </w:rPr>
              <w:t>Online modification of medical instruments status</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 xml:space="preserve">5.17 </w:t>
            </w:r>
            <w:r>
              <w:rPr>
                <w:rFonts w:ascii="Times New Roman" w:hAnsi="Times New Roman"/>
                <w:snapToGrid w:val="0"/>
                <w:szCs w:val="18"/>
              </w:rPr>
              <w:t>Device activation and deactivation</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5.26 Elderly Health Care</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5.29 Device Permanent Deactivation</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6.3 Electronic shelf label</w:t>
            </w:r>
          </w:p>
        </w:tc>
      </w:tr>
      <w:tr w:rsidR="00A05BC1">
        <w:trPr>
          <w:jc w:val="center"/>
        </w:trPr>
        <w:tc>
          <w:tcPr>
            <w:tcW w:w="2551"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rUC5: Outdoor inventory</w:t>
            </w:r>
          </w:p>
        </w:tc>
        <w:tc>
          <w:tcPr>
            <w:tcW w:w="5669"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 Medical instruments inventory management and positioning</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5.4 Non-public network for logistics</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5.7 Airport</w:t>
            </w:r>
            <w:r>
              <w:rPr>
                <w:rFonts w:ascii="Times New Roman" w:hAnsi="Times New Roman"/>
                <w:snapToGrid w:val="0"/>
                <w:szCs w:val="18"/>
              </w:rPr>
              <w:t xml:space="preserve"> terminal / shipping port</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5.16 Automated supply chain distribution</w:t>
            </w:r>
          </w:p>
        </w:tc>
      </w:tr>
      <w:tr w:rsidR="00A05BC1">
        <w:trPr>
          <w:jc w:val="center"/>
        </w:trPr>
        <w:tc>
          <w:tcPr>
            <w:tcW w:w="2551"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lastRenderedPageBreak/>
              <w:t>rUC6: Outdoor sensor</w:t>
            </w:r>
          </w:p>
        </w:tc>
        <w:tc>
          <w:tcPr>
            <w:tcW w:w="5669"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5.3 Smart grids</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5.19 Forest Fire Monitoring</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5.22 Dairy farming</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5.24 Smart manhole cover safety monitoring</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5.25 Smart bridge health monitoring</w:t>
            </w:r>
          </w:p>
        </w:tc>
      </w:tr>
      <w:tr w:rsidR="00A05BC1">
        <w:trPr>
          <w:jc w:val="center"/>
        </w:trPr>
        <w:tc>
          <w:tcPr>
            <w:tcW w:w="2551"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 xml:space="preserve">rUC7: Outdoor </w:t>
            </w:r>
            <w:r>
              <w:rPr>
                <w:rFonts w:ascii="Times New Roman" w:hAnsi="Times New Roman"/>
                <w:snapToGrid w:val="0"/>
                <w:szCs w:val="18"/>
              </w:rPr>
              <w:t>positioning</w:t>
            </w:r>
          </w:p>
        </w:tc>
        <w:tc>
          <w:tcPr>
            <w:tcW w:w="5669"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5.8 Finding remote lost item</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5.9 Location service</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5.12 Personal belongings finding</w:t>
            </w:r>
          </w:p>
        </w:tc>
      </w:tr>
      <w:tr w:rsidR="00A05BC1">
        <w:trPr>
          <w:jc w:val="center"/>
        </w:trPr>
        <w:tc>
          <w:tcPr>
            <w:tcW w:w="2551"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rUC8: Outdoor command</w:t>
            </w:r>
          </w:p>
        </w:tc>
        <w:tc>
          <w:tcPr>
            <w:tcW w:w="5669" w:type="dxa"/>
          </w:tcPr>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5.11 Online modification of medical instruments status</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5.17 Device activation and deactivation</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5.26 Elderly Health Care</w:t>
            </w:r>
          </w:p>
          <w:p w:rsidR="00A05BC1" w:rsidRDefault="003B32BD">
            <w:pPr>
              <w:pStyle w:val="TAL"/>
              <w:spacing w:before="120" w:after="120" w:line="240" w:lineRule="auto"/>
              <w:rPr>
                <w:rFonts w:ascii="Times New Roman" w:hAnsi="Times New Roman"/>
                <w:snapToGrid w:val="0"/>
                <w:szCs w:val="18"/>
              </w:rPr>
            </w:pPr>
            <w:r>
              <w:rPr>
                <w:rFonts w:ascii="Times New Roman" w:hAnsi="Times New Roman"/>
                <w:snapToGrid w:val="0"/>
                <w:szCs w:val="18"/>
              </w:rPr>
              <w:t>5.30 Controller in</w:t>
            </w:r>
            <w:r>
              <w:rPr>
                <w:rFonts w:ascii="Times New Roman" w:hAnsi="Times New Roman"/>
                <w:snapToGrid w:val="0"/>
                <w:szCs w:val="18"/>
              </w:rPr>
              <w:t xml:space="preserve"> smart agriculture</w:t>
            </w:r>
          </w:p>
        </w:tc>
      </w:tr>
    </w:tbl>
    <w:p w:rsidR="00A05BC1" w:rsidRDefault="00A05BC1">
      <w:pPr>
        <w:spacing w:before="120" w:after="120"/>
        <w:rPr>
          <w:rFonts w:ascii="Arial" w:hAnsi="Arial" w:cs="Arial"/>
          <w:sz w:val="20"/>
        </w:rPr>
      </w:pPr>
    </w:p>
    <w:sectPr w:rsidR="00A05BC1">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2BD" w:rsidRDefault="003B32BD">
      <w:pPr>
        <w:spacing w:before="120" w:after="120" w:line="240" w:lineRule="auto"/>
      </w:pPr>
      <w:r>
        <w:separator/>
      </w:r>
    </w:p>
  </w:endnote>
  <w:endnote w:type="continuationSeparator" w:id="0">
    <w:p w:rsidR="003B32BD" w:rsidRDefault="003B32B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BC1" w:rsidRDefault="00A05BC1">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BC1" w:rsidRDefault="003B32BD">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A05BC1" w:rsidRDefault="003B32BD">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BC1" w:rsidRDefault="00A05BC1">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2BD" w:rsidRDefault="003B32BD">
      <w:pPr>
        <w:spacing w:before="120" w:after="120"/>
      </w:pPr>
      <w:r>
        <w:separator/>
      </w:r>
    </w:p>
  </w:footnote>
  <w:footnote w:type="continuationSeparator" w:id="0">
    <w:p w:rsidR="003B32BD" w:rsidRDefault="003B32B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BC1" w:rsidRDefault="00A05BC1">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BC1" w:rsidRDefault="00A05BC1">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BC1" w:rsidRDefault="00A05BC1">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C71318"/>
    <w:multiLevelType w:val="multilevel"/>
    <w:tmpl w:val="0BC713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022065"/>
    <w:multiLevelType w:val="multilevel"/>
    <w:tmpl w:val="3A022065"/>
    <w:lvl w:ilvl="0">
      <w:start w:val="4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num w:numId="1">
    <w:abstractNumId w:val="3"/>
  </w:num>
  <w:num w:numId="2">
    <w:abstractNumId w:val="6"/>
  </w:num>
  <w:num w:numId="3">
    <w:abstractNumId w:val="0"/>
  </w:num>
  <w:num w:numId="4">
    <w:abstractNumId w:val="1"/>
  </w:num>
  <w:num w:numId="5">
    <w:abstractNumId w:val="7"/>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549F"/>
    <w:rsid w:val="00025D9D"/>
    <w:rsid w:val="00034720"/>
    <w:rsid w:val="00050423"/>
    <w:rsid w:val="00051F4E"/>
    <w:rsid w:val="000527A3"/>
    <w:rsid w:val="000529AC"/>
    <w:rsid w:val="000715B9"/>
    <w:rsid w:val="00071FB7"/>
    <w:rsid w:val="00072FB0"/>
    <w:rsid w:val="00074DCF"/>
    <w:rsid w:val="0007790D"/>
    <w:rsid w:val="00077A1A"/>
    <w:rsid w:val="00090D39"/>
    <w:rsid w:val="00093DF3"/>
    <w:rsid w:val="000A15BE"/>
    <w:rsid w:val="000A168E"/>
    <w:rsid w:val="000A223E"/>
    <w:rsid w:val="000C00A4"/>
    <w:rsid w:val="000C1A96"/>
    <w:rsid w:val="000C7E3D"/>
    <w:rsid w:val="000D0462"/>
    <w:rsid w:val="000D08B3"/>
    <w:rsid w:val="000D627E"/>
    <w:rsid w:val="000E2433"/>
    <w:rsid w:val="000F28CA"/>
    <w:rsid w:val="001009B8"/>
    <w:rsid w:val="00103457"/>
    <w:rsid w:val="00103906"/>
    <w:rsid w:val="00105530"/>
    <w:rsid w:val="00120AF7"/>
    <w:rsid w:val="00132F21"/>
    <w:rsid w:val="00142961"/>
    <w:rsid w:val="001470AA"/>
    <w:rsid w:val="00153BF7"/>
    <w:rsid w:val="00154DBD"/>
    <w:rsid w:val="0016113B"/>
    <w:rsid w:val="001615B7"/>
    <w:rsid w:val="001632AB"/>
    <w:rsid w:val="00172A27"/>
    <w:rsid w:val="001754AE"/>
    <w:rsid w:val="0018654F"/>
    <w:rsid w:val="0018732E"/>
    <w:rsid w:val="00191912"/>
    <w:rsid w:val="00195F46"/>
    <w:rsid w:val="001A1539"/>
    <w:rsid w:val="001A4568"/>
    <w:rsid w:val="001B18D3"/>
    <w:rsid w:val="001B3634"/>
    <w:rsid w:val="001B3889"/>
    <w:rsid w:val="001C1894"/>
    <w:rsid w:val="001C196F"/>
    <w:rsid w:val="001D1287"/>
    <w:rsid w:val="001D2884"/>
    <w:rsid w:val="001E0651"/>
    <w:rsid w:val="001E1108"/>
    <w:rsid w:val="001E125B"/>
    <w:rsid w:val="001E262F"/>
    <w:rsid w:val="001F1BB1"/>
    <w:rsid w:val="001F2AF7"/>
    <w:rsid w:val="001F415E"/>
    <w:rsid w:val="001F6C0A"/>
    <w:rsid w:val="001F6E58"/>
    <w:rsid w:val="00203B63"/>
    <w:rsid w:val="0020406B"/>
    <w:rsid w:val="00212872"/>
    <w:rsid w:val="00215D89"/>
    <w:rsid w:val="00216169"/>
    <w:rsid w:val="002240E1"/>
    <w:rsid w:val="00224A1A"/>
    <w:rsid w:val="00227DF5"/>
    <w:rsid w:val="002320CA"/>
    <w:rsid w:val="00233A02"/>
    <w:rsid w:val="002401EC"/>
    <w:rsid w:val="00243B44"/>
    <w:rsid w:val="00244ABB"/>
    <w:rsid w:val="00244FC6"/>
    <w:rsid w:val="00247A67"/>
    <w:rsid w:val="00251814"/>
    <w:rsid w:val="002546A5"/>
    <w:rsid w:val="00256B05"/>
    <w:rsid w:val="00261BCE"/>
    <w:rsid w:val="00261C72"/>
    <w:rsid w:val="0026766E"/>
    <w:rsid w:val="00270F8C"/>
    <w:rsid w:val="002748A9"/>
    <w:rsid w:val="00282069"/>
    <w:rsid w:val="00283A0A"/>
    <w:rsid w:val="00285965"/>
    <w:rsid w:val="0029516D"/>
    <w:rsid w:val="00297949"/>
    <w:rsid w:val="002A3D98"/>
    <w:rsid w:val="002B4661"/>
    <w:rsid w:val="002C4448"/>
    <w:rsid w:val="002C68AC"/>
    <w:rsid w:val="002C7CCD"/>
    <w:rsid w:val="002D2CE9"/>
    <w:rsid w:val="002D5550"/>
    <w:rsid w:val="002F0E7A"/>
    <w:rsid w:val="002F2535"/>
    <w:rsid w:val="002F2C7F"/>
    <w:rsid w:val="002F3FAB"/>
    <w:rsid w:val="002F5687"/>
    <w:rsid w:val="002F5A8D"/>
    <w:rsid w:val="00300D72"/>
    <w:rsid w:val="00302F20"/>
    <w:rsid w:val="00303936"/>
    <w:rsid w:val="00314748"/>
    <w:rsid w:val="00316046"/>
    <w:rsid w:val="00317501"/>
    <w:rsid w:val="00322EE2"/>
    <w:rsid w:val="00325902"/>
    <w:rsid w:val="003275A3"/>
    <w:rsid w:val="00331B70"/>
    <w:rsid w:val="00332D30"/>
    <w:rsid w:val="0033573E"/>
    <w:rsid w:val="00335FF9"/>
    <w:rsid w:val="0034009F"/>
    <w:rsid w:val="00340631"/>
    <w:rsid w:val="00343CE4"/>
    <w:rsid w:val="00344E48"/>
    <w:rsid w:val="003466BB"/>
    <w:rsid w:val="003507A6"/>
    <w:rsid w:val="00352087"/>
    <w:rsid w:val="0035253F"/>
    <w:rsid w:val="00352EF5"/>
    <w:rsid w:val="00361D52"/>
    <w:rsid w:val="003704FF"/>
    <w:rsid w:val="00370D7F"/>
    <w:rsid w:val="00372A00"/>
    <w:rsid w:val="00373667"/>
    <w:rsid w:val="003763BF"/>
    <w:rsid w:val="00376E4B"/>
    <w:rsid w:val="00376EEB"/>
    <w:rsid w:val="003872BB"/>
    <w:rsid w:val="00387E0A"/>
    <w:rsid w:val="00396F31"/>
    <w:rsid w:val="00397BA3"/>
    <w:rsid w:val="003A1DCE"/>
    <w:rsid w:val="003A4365"/>
    <w:rsid w:val="003A6BBE"/>
    <w:rsid w:val="003A7EAD"/>
    <w:rsid w:val="003B32BD"/>
    <w:rsid w:val="003B53DF"/>
    <w:rsid w:val="003B5AC2"/>
    <w:rsid w:val="003D1DE1"/>
    <w:rsid w:val="003D44C6"/>
    <w:rsid w:val="003D5CFD"/>
    <w:rsid w:val="003E52B6"/>
    <w:rsid w:val="003E7382"/>
    <w:rsid w:val="003F430B"/>
    <w:rsid w:val="003F7415"/>
    <w:rsid w:val="004003D2"/>
    <w:rsid w:val="00405325"/>
    <w:rsid w:val="00405BDD"/>
    <w:rsid w:val="00417B25"/>
    <w:rsid w:val="004209E1"/>
    <w:rsid w:val="0042238B"/>
    <w:rsid w:val="00434E27"/>
    <w:rsid w:val="00440E60"/>
    <w:rsid w:val="00444BE9"/>
    <w:rsid w:val="00450C17"/>
    <w:rsid w:val="004527B1"/>
    <w:rsid w:val="004545A5"/>
    <w:rsid w:val="004557D2"/>
    <w:rsid w:val="004608F6"/>
    <w:rsid w:val="004724B4"/>
    <w:rsid w:val="00472B06"/>
    <w:rsid w:val="00477655"/>
    <w:rsid w:val="0048120F"/>
    <w:rsid w:val="00482706"/>
    <w:rsid w:val="0048728E"/>
    <w:rsid w:val="00490434"/>
    <w:rsid w:val="00494F95"/>
    <w:rsid w:val="004A142B"/>
    <w:rsid w:val="004A2759"/>
    <w:rsid w:val="004A5D1D"/>
    <w:rsid w:val="004A699E"/>
    <w:rsid w:val="004B44A9"/>
    <w:rsid w:val="004C1A54"/>
    <w:rsid w:val="004C47BE"/>
    <w:rsid w:val="004C4E0D"/>
    <w:rsid w:val="004C6979"/>
    <w:rsid w:val="004D2637"/>
    <w:rsid w:val="004E15A3"/>
    <w:rsid w:val="004E2D22"/>
    <w:rsid w:val="004E4B5D"/>
    <w:rsid w:val="004F5994"/>
    <w:rsid w:val="00500F45"/>
    <w:rsid w:val="00503921"/>
    <w:rsid w:val="00507A00"/>
    <w:rsid w:val="0051711C"/>
    <w:rsid w:val="005176E7"/>
    <w:rsid w:val="00523589"/>
    <w:rsid w:val="00523668"/>
    <w:rsid w:val="00523AD9"/>
    <w:rsid w:val="00523D5E"/>
    <w:rsid w:val="00527033"/>
    <w:rsid w:val="00531B5B"/>
    <w:rsid w:val="00532500"/>
    <w:rsid w:val="005349A5"/>
    <w:rsid w:val="005413AD"/>
    <w:rsid w:val="00541B22"/>
    <w:rsid w:val="00546436"/>
    <w:rsid w:val="00547723"/>
    <w:rsid w:val="005571B4"/>
    <w:rsid w:val="00561FA8"/>
    <w:rsid w:val="005644F6"/>
    <w:rsid w:val="00564BCB"/>
    <w:rsid w:val="005725AF"/>
    <w:rsid w:val="00572F6E"/>
    <w:rsid w:val="00574776"/>
    <w:rsid w:val="00582184"/>
    <w:rsid w:val="0058526A"/>
    <w:rsid w:val="00591099"/>
    <w:rsid w:val="00592D88"/>
    <w:rsid w:val="0059321F"/>
    <w:rsid w:val="005932F3"/>
    <w:rsid w:val="00593818"/>
    <w:rsid w:val="005A05C6"/>
    <w:rsid w:val="005A0FE9"/>
    <w:rsid w:val="005B270E"/>
    <w:rsid w:val="005B4834"/>
    <w:rsid w:val="005B77A5"/>
    <w:rsid w:val="005C4DC6"/>
    <w:rsid w:val="005C6B42"/>
    <w:rsid w:val="005D6A1C"/>
    <w:rsid w:val="005E2808"/>
    <w:rsid w:val="005E2C89"/>
    <w:rsid w:val="005F26E5"/>
    <w:rsid w:val="005F7062"/>
    <w:rsid w:val="00603844"/>
    <w:rsid w:val="00604404"/>
    <w:rsid w:val="006059E5"/>
    <w:rsid w:val="00611232"/>
    <w:rsid w:val="00614E28"/>
    <w:rsid w:val="00617327"/>
    <w:rsid w:val="00617EE7"/>
    <w:rsid w:val="00620288"/>
    <w:rsid w:val="00620D7C"/>
    <w:rsid w:val="006231ED"/>
    <w:rsid w:val="00624C23"/>
    <w:rsid w:val="00633E43"/>
    <w:rsid w:val="00637D11"/>
    <w:rsid w:val="00640B94"/>
    <w:rsid w:val="00641393"/>
    <w:rsid w:val="00642298"/>
    <w:rsid w:val="00646EAA"/>
    <w:rsid w:val="006501AA"/>
    <w:rsid w:val="00650859"/>
    <w:rsid w:val="00650A2A"/>
    <w:rsid w:val="006536B8"/>
    <w:rsid w:val="00653F4E"/>
    <w:rsid w:val="00666C58"/>
    <w:rsid w:val="00674C9A"/>
    <w:rsid w:val="00676C72"/>
    <w:rsid w:val="0067758E"/>
    <w:rsid w:val="00677A59"/>
    <w:rsid w:val="00680FFF"/>
    <w:rsid w:val="00691376"/>
    <w:rsid w:val="006922EF"/>
    <w:rsid w:val="00694FB9"/>
    <w:rsid w:val="006A2804"/>
    <w:rsid w:val="006A2CFE"/>
    <w:rsid w:val="006A5C28"/>
    <w:rsid w:val="006B0580"/>
    <w:rsid w:val="006C2229"/>
    <w:rsid w:val="006C43C7"/>
    <w:rsid w:val="006C55B1"/>
    <w:rsid w:val="006C5D5E"/>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60D"/>
    <w:rsid w:val="0071482B"/>
    <w:rsid w:val="00717A38"/>
    <w:rsid w:val="00722198"/>
    <w:rsid w:val="00722950"/>
    <w:rsid w:val="0073053B"/>
    <w:rsid w:val="00735DC1"/>
    <w:rsid w:val="00737786"/>
    <w:rsid w:val="007427BB"/>
    <w:rsid w:val="007440A2"/>
    <w:rsid w:val="00745143"/>
    <w:rsid w:val="00747C56"/>
    <w:rsid w:val="007501AC"/>
    <w:rsid w:val="00756124"/>
    <w:rsid w:val="00762F1B"/>
    <w:rsid w:val="00765BCF"/>
    <w:rsid w:val="0076682E"/>
    <w:rsid w:val="007728A8"/>
    <w:rsid w:val="0077581A"/>
    <w:rsid w:val="0077761A"/>
    <w:rsid w:val="00784828"/>
    <w:rsid w:val="00785A2A"/>
    <w:rsid w:val="00786A2C"/>
    <w:rsid w:val="00786F84"/>
    <w:rsid w:val="00787FA9"/>
    <w:rsid w:val="007A0CD8"/>
    <w:rsid w:val="007A2857"/>
    <w:rsid w:val="007B0FD9"/>
    <w:rsid w:val="007B166E"/>
    <w:rsid w:val="007B18C1"/>
    <w:rsid w:val="007B33D8"/>
    <w:rsid w:val="007B403E"/>
    <w:rsid w:val="007B447A"/>
    <w:rsid w:val="007B458B"/>
    <w:rsid w:val="007C1010"/>
    <w:rsid w:val="007C4328"/>
    <w:rsid w:val="007C440F"/>
    <w:rsid w:val="007C47F6"/>
    <w:rsid w:val="007D2659"/>
    <w:rsid w:val="007D2C32"/>
    <w:rsid w:val="007D4A27"/>
    <w:rsid w:val="007E4A23"/>
    <w:rsid w:val="007E710C"/>
    <w:rsid w:val="007F39F4"/>
    <w:rsid w:val="00802A15"/>
    <w:rsid w:val="008036A8"/>
    <w:rsid w:val="00810C42"/>
    <w:rsid w:val="0081583C"/>
    <w:rsid w:val="00816EF3"/>
    <w:rsid w:val="008226B2"/>
    <w:rsid w:val="008266C4"/>
    <w:rsid w:val="00830F1E"/>
    <w:rsid w:val="008412CD"/>
    <w:rsid w:val="00842BFF"/>
    <w:rsid w:val="0084332A"/>
    <w:rsid w:val="00847621"/>
    <w:rsid w:val="00852635"/>
    <w:rsid w:val="0085443B"/>
    <w:rsid w:val="00857E93"/>
    <w:rsid w:val="0086098A"/>
    <w:rsid w:val="00860AD1"/>
    <w:rsid w:val="008652E8"/>
    <w:rsid w:val="00870679"/>
    <w:rsid w:val="00870E40"/>
    <w:rsid w:val="00881540"/>
    <w:rsid w:val="00886E49"/>
    <w:rsid w:val="00886EA7"/>
    <w:rsid w:val="00886F49"/>
    <w:rsid w:val="00892B4C"/>
    <w:rsid w:val="00893268"/>
    <w:rsid w:val="0089344F"/>
    <w:rsid w:val="00894520"/>
    <w:rsid w:val="00897ABC"/>
    <w:rsid w:val="008A1817"/>
    <w:rsid w:val="008A72B5"/>
    <w:rsid w:val="008B3130"/>
    <w:rsid w:val="008B363D"/>
    <w:rsid w:val="008B547D"/>
    <w:rsid w:val="008B5C48"/>
    <w:rsid w:val="008B6EF0"/>
    <w:rsid w:val="008B7F10"/>
    <w:rsid w:val="008C0445"/>
    <w:rsid w:val="008C2278"/>
    <w:rsid w:val="008D3ED9"/>
    <w:rsid w:val="008E1E4D"/>
    <w:rsid w:val="008F255E"/>
    <w:rsid w:val="008F3DC8"/>
    <w:rsid w:val="00901BD8"/>
    <w:rsid w:val="00903896"/>
    <w:rsid w:val="00903A35"/>
    <w:rsid w:val="00913703"/>
    <w:rsid w:val="00920E7A"/>
    <w:rsid w:val="00922624"/>
    <w:rsid w:val="00923BDA"/>
    <w:rsid w:val="0093617A"/>
    <w:rsid w:val="009411A5"/>
    <w:rsid w:val="00942AEE"/>
    <w:rsid w:val="00946A7C"/>
    <w:rsid w:val="00947739"/>
    <w:rsid w:val="00950DB1"/>
    <w:rsid w:val="00952C83"/>
    <w:rsid w:val="00956A30"/>
    <w:rsid w:val="00957329"/>
    <w:rsid w:val="00957418"/>
    <w:rsid w:val="009610C6"/>
    <w:rsid w:val="0096194F"/>
    <w:rsid w:val="00963243"/>
    <w:rsid w:val="009648EE"/>
    <w:rsid w:val="00966682"/>
    <w:rsid w:val="00966E7D"/>
    <w:rsid w:val="00970630"/>
    <w:rsid w:val="00971A1F"/>
    <w:rsid w:val="00973243"/>
    <w:rsid w:val="009734B7"/>
    <w:rsid w:val="00975F1A"/>
    <w:rsid w:val="00983FE2"/>
    <w:rsid w:val="00986B97"/>
    <w:rsid w:val="00994A41"/>
    <w:rsid w:val="009A319E"/>
    <w:rsid w:val="009A380A"/>
    <w:rsid w:val="009A3A36"/>
    <w:rsid w:val="009A4F31"/>
    <w:rsid w:val="009B05AD"/>
    <w:rsid w:val="009B18A3"/>
    <w:rsid w:val="009B5557"/>
    <w:rsid w:val="009C6F28"/>
    <w:rsid w:val="009D5B5E"/>
    <w:rsid w:val="009D6400"/>
    <w:rsid w:val="009D6675"/>
    <w:rsid w:val="009D7770"/>
    <w:rsid w:val="009D7C12"/>
    <w:rsid w:val="009F03F7"/>
    <w:rsid w:val="009F1287"/>
    <w:rsid w:val="009F65A8"/>
    <w:rsid w:val="009F7747"/>
    <w:rsid w:val="00A00A06"/>
    <w:rsid w:val="00A00FEE"/>
    <w:rsid w:val="00A05A33"/>
    <w:rsid w:val="00A05BC1"/>
    <w:rsid w:val="00A12854"/>
    <w:rsid w:val="00A14F22"/>
    <w:rsid w:val="00A171E5"/>
    <w:rsid w:val="00A17810"/>
    <w:rsid w:val="00A212A7"/>
    <w:rsid w:val="00A21523"/>
    <w:rsid w:val="00A26720"/>
    <w:rsid w:val="00A33BD9"/>
    <w:rsid w:val="00A37C92"/>
    <w:rsid w:val="00A404DD"/>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3B7B"/>
    <w:rsid w:val="00A94D9B"/>
    <w:rsid w:val="00A967AB"/>
    <w:rsid w:val="00A9760D"/>
    <w:rsid w:val="00AA1889"/>
    <w:rsid w:val="00AB0AAF"/>
    <w:rsid w:val="00AB251B"/>
    <w:rsid w:val="00AB5108"/>
    <w:rsid w:val="00AB6D34"/>
    <w:rsid w:val="00AC24BF"/>
    <w:rsid w:val="00AC3815"/>
    <w:rsid w:val="00AD1831"/>
    <w:rsid w:val="00AD56C4"/>
    <w:rsid w:val="00AD7FE5"/>
    <w:rsid w:val="00AE5530"/>
    <w:rsid w:val="00AF050A"/>
    <w:rsid w:val="00B031EF"/>
    <w:rsid w:val="00B07839"/>
    <w:rsid w:val="00B110EA"/>
    <w:rsid w:val="00B11405"/>
    <w:rsid w:val="00B12602"/>
    <w:rsid w:val="00B138E9"/>
    <w:rsid w:val="00B15B99"/>
    <w:rsid w:val="00B179E3"/>
    <w:rsid w:val="00B21480"/>
    <w:rsid w:val="00B245AA"/>
    <w:rsid w:val="00B34FF8"/>
    <w:rsid w:val="00B43645"/>
    <w:rsid w:val="00B51104"/>
    <w:rsid w:val="00B5181A"/>
    <w:rsid w:val="00B52BE9"/>
    <w:rsid w:val="00B54730"/>
    <w:rsid w:val="00B56091"/>
    <w:rsid w:val="00B60F6C"/>
    <w:rsid w:val="00B663FA"/>
    <w:rsid w:val="00B71B7A"/>
    <w:rsid w:val="00B72848"/>
    <w:rsid w:val="00B731A6"/>
    <w:rsid w:val="00B76824"/>
    <w:rsid w:val="00B768A1"/>
    <w:rsid w:val="00B81A95"/>
    <w:rsid w:val="00B81C3C"/>
    <w:rsid w:val="00B87AB7"/>
    <w:rsid w:val="00B9070B"/>
    <w:rsid w:val="00B9379C"/>
    <w:rsid w:val="00B96E00"/>
    <w:rsid w:val="00BA1E14"/>
    <w:rsid w:val="00BA72B7"/>
    <w:rsid w:val="00BA7674"/>
    <w:rsid w:val="00BB08C4"/>
    <w:rsid w:val="00BC0005"/>
    <w:rsid w:val="00BC4A25"/>
    <w:rsid w:val="00BD33A2"/>
    <w:rsid w:val="00BD49FA"/>
    <w:rsid w:val="00BD72A5"/>
    <w:rsid w:val="00BE22EC"/>
    <w:rsid w:val="00BE5D22"/>
    <w:rsid w:val="00BE7970"/>
    <w:rsid w:val="00BE7A8C"/>
    <w:rsid w:val="00BF526E"/>
    <w:rsid w:val="00BF61CA"/>
    <w:rsid w:val="00BF743C"/>
    <w:rsid w:val="00BF78E9"/>
    <w:rsid w:val="00C00906"/>
    <w:rsid w:val="00C014A9"/>
    <w:rsid w:val="00C07C74"/>
    <w:rsid w:val="00C111FE"/>
    <w:rsid w:val="00C12784"/>
    <w:rsid w:val="00C16276"/>
    <w:rsid w:val="00C2142E"/>
    <w:rsid w:val="00C22FCF"/>
    <w:rsid w:val="00C2334E"/>
    <w:rsid w:val="00C2713A"/>
    <w:rsid w:val="00C34FD0"/>
    <w:rsid w:val="00C36B6D"/>
    <w:rsid w:val="00C40AA1"/>
    <w:rsid w:val="00C52664"/>
    <w:rsid w:val="00C5791E"/>
    <w:rsid w:val="00C625E3"/>
    <w:rsid w:val="00C65B20"/>
    <w:rsid w:val="00C67AE3"/>
    <w:rsid w:val="00C76271"/>
    <w:rsid w:val="00C829B3"/>
    <w:rsid w:val="00C855D2"/>
    <w:rsid w:val="00C925E7"/>
    <w:rsid w:val="00CA09F5"/>
    <w:rsid w:val="00CA0D16"/>
    <w:rsid w:val="00CA152B"/>
    <w:rsid w:val="00CB03D7"/>
    <w:rsid w:val="00CB046A"/>
    <w:rsid w:val="00CB4602"/>
    <w:rsid w:val="00CB7FB3"/>
    <w:rsid w:val="00CC01B0"/>
    <w:rsid w:val="00CC11A8"/>
    <w:rsid w:val="00CC4B0A"/>
    <w:rsid w:val="00CD5E4A"/>
    <w:rsid w:val="00CD62C4"/>
    <w:rsid w:val="00CD71E9"/>
    <w:rsid w:val="00CE058C"/>
    <w:rsid w:val="00CE32ED"/>
    <w:rsid w:val="00CF0062"/>
    <w:rsid w:val="00CF25E8"/>
    <w:rsid w:val="00CF4293"/>
    <w:rsid w:val="00D06F00"/>
    <w:rsid w:val="00D133A3"/>
    <w:rsid w:val="00D133A5"/>
    <w:rsid w:val="00D14578"/>
    <w:rsid w:val="00D17260"/>
    <w:rsid w:val="00D22C2E"/>
    <w:rsid w:val="00D24465"/>
    <w:rsid w:val="00D27BF8"/>
    <w:rsid w:val="00D30D70"/>
    <w:rsid w:val="00D30FF6"/>
    <w:rsid w:val="00D32F78"/>
    <w:rsid w:val="00D471A9"/>
    <w:rsid w:val="00D54F1B"/>
    <w:rsid w:val="00D57D7B"/>
    <w:rsid w:val="00D60DA9"/>
    <w:rsid w:val="00D63147"/>
    <w:rsid w:val="00D654E0"/>
    <w:rsid w:val="00D714E2"/>
    <w:rsid w:val="00D7289E"/>
    <w:rsid w:val="00D82CF5"/>
    <w:rsid w:val="00D838A0"/>
    <w:rsid w:val="00D8550E"/>
    <w:rsid w:val="00D871C4"/>
    <w:rsid w:val="00D8785A"/>
    <w:rsid w:val="00D91349"/>
    <w:rsid w:val="00D92E3B"/>
    <w:rsid w:val="00D93BC0"/>
    <w:rsid w:val="00D959EE"/>
    <w:rsid w:val="00DB0E95"/>
    <w:rsid w:val="00DB12AD"/>
    <w:rsid w:val="00DB26BC"/>
    <w:rsid w:val="00DC0C4F"/>
    <w:rsid w:val="00DC1213"/>
    <w:rsid w:val="00DC6E1E"/>
    <w:rsid w:val="00DC70F6"/>
    <w:rsid w:val="00DC724A"/>
    <w:rsid w:val="00DD5F49"/>
    <w:rsid w:val="00DE5E74"/>
    <w:rsid w:val="00DE66DB"/>
    <w:rsid w:val="00DF4482"/>
    <w:rsid w:val="00E05651"/>
    <w:rsid w:val="00E068AA"/>
    <w:rsid w:val="00E0780F"/>
    <w:rsid w:val="00E15DED"/>
    <w:rsid w:val="00E258FC"/>
    <w:rsid w:val="00E30348"/>
    <w:rsid w:val="00E31DA6"/>
    <w:rsid w:val="00E339EA"/>
    <w:rsid w:val="00E4535E"/>
    <w:rsid w:val="00E52879"/>
    <w:rsid w:val="00E53A27"/>
    <w:rsid w:val="00E552BE"/>
    <w:rsid w:val="00E55791"/>
    <w:rsid w:val="00E56340"/>
    <w:rsid w:val="00E64FD4"/>
    <w:rsid w:val="00E67009"/>
    <w:rsid w:val="00E704FD"/>
    <w:rsid w:val="00E70594"/>
    <w:rsid w:val="00E73932"/>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1111"/>
    <w:rsid w:val="00ED47A7"/>
    <w:rsid w:val="00EE1EE7"/>
    <w:rsid w:val="00EF4A28"/>
    <w:rsid w:val="00EF6AF5"/>
    <w:rsid w:val="00F019E9"/>
    <w:rsid w:val="00F03760"/>
    <w:rsid w:val="00F05DFC"/>
    <w:rsid w:val="00F072E8"/>
    <w:rsid w:val="00F143A1"/>
    <w:rsid w:val="00F1480F"/>
    <w:rsid w:val="00F179F3"/>
    <w:rsid w:val="00F2072B"/>
    <w:rsid w:val="00F32B6D"/>
    <w:rsid w:val="00F34277"/>
    <w:rsid w:val="00F34CA1"/>
    <w:rsid w:val="00F4372E"/>
    <w:rsid w:val="00F453FE"/>
    <w:rsid w:val="00F63346"/>
    <w:rsid w:val="00F71825"/>
    <w:rsid w:val="00F749AE"/>
    <w:rsid w:val="00F80169"/>
    <w:rsid w:val="00F81514"/>
    <w:rsid w:val="00F82200"/>
    <w:rsid w:val="00F82B86"/>
    <w:rsid w:val="00F84700"/>
    <w:rsid w:val="00F85FAD"/>
    <w:rsid w:val="00F86352"/>
    <w:rsid w:val="00F87040"/>
    <w:rsid w:val="00F870DD"/>
    <w:rsid w:val="00F9445C"/>
    <w:rsid w:val="00F95A32"/>
    <w:rsid w:val="00FA0BE4"/>
    <w:rsid w:val="00FA1D8A"/>
    <w:rsid w:val="00FA3FD9"/>
    <w:rsid w:val="00FA6AF6"/>
    <w:rsid w:val="00FA7D65"/>
    <w:rsid w:val="00FB593A"/>
    <w:rsid w:val="00FC1AD0"/>
    <w:rsid w:val="00FC20D8"/>
    <w:rsid w:val="00FC396F"/>
    <w:rsid w:val="00FC3D4E"/>
    <w:rsid w:val="00FC6D99"/>
    <w:rsid w:val="00FC72FB"/>
    <w:rsid w:val="00FD162B"/>
    <w:rsid w:val="00FE08CB"/>
    <w:rsid w:val="00FE0900"/>
    <w:rsid w:val="00FE391D"/>
    <w:rsid w:val="00FE3C08"/>
    <w:rsid w:val="00FF1505"/>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9C3C9F"/>
    <w:rsid w:val="02A23A7B"/>
    <w:rsid w:val="02BE42E8"/>
    <w:rsid w:val="031A6DDF"/>
    <w:rsid w:val="032219B3"/>
    <w:rsid w:val="035F7137"/>
    <w:rsid w:val="0368661B"/>
    <w:rsid w:val="03F50BF8"/>
    <w:rsid w:val="03F757EE"/>
    <w:rsid w:val="040D5006"/>
    <w:rsid w:val="04176B15"/>
    <w:rsid w:val="04250069"/>
    <w:rsid w:val="04332B60"/>
    <w:rsid w:val="044D1A33"/>
    <w:rsid w:val="04AE2AFE"/>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91486"/>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6F04B1"/>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0E74"/>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1FFA0915"/>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72F14"/>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7D64A7"/>
    <w:rsid w:val="238A4219"/>
    <w:rsid w:val="239051E5"/>
    <w:rsid w:val="23924A0F"/>
    <w:rsid w:val="23987B60"/>
    <w:rsid w:val="239D13E8"/>
    <w:rsid w:val="239F6D5D"/>
    <w:rsid w:val="239F7F68"/>
    <w:rsid w:val="23CE130B"/>
    <w:rsid w:val="23ED0F94"/>
    <w:rsid w:val="23F85606"/>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2A5544"/>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AD08FF"/>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847D7"/>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CC6FF0"/>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4D5160"/>
    <w:rsid w:val="2D610EF1"/>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4B55D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5C3871"/>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510B5E"/>
    <w:rsid w:val="3465056A"/>
    <w:rsid w:val="346866A1"/>
    <w:rsid w:val="34700522"/>
    <w:rsid w:val="348167F0"/>
    <w:rsid w:val="348C36E4"/>
    <w:rsid w:val="34921598"/>
    <w:rsid w:val="349A1C0D"/>
    <w:rsid w:val="349F3018"/>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95EA2"/>
    <w:rsid w:val="367C01BA"/>
    <w:rsid w:val="368A0F28"/>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8FF7D0D"/>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1783A"/>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C223B8"/>
    <w:rsid w:val="3FED10C4"/>
    <w:rsid w:val="3FFD69BE"/>
    <w:rsid w:val="40115E5D"/>
    <w:rsid w:val="40142B28"/>
    <w:rsid w:val="402551CC"/>
    <w:rsid w:val="404C0EDB"/>
    <w:rsid w:val="405A7340"/>
    <w:rsid w:val="406563D6"/>
    <w:rsid w:val="406B7B27"/>
    <w:rsid w:val="408563A3"/>
    <w:rsid w:val="40985505"/>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3866C9"/>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03181"/>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8909B6"/>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4185C"/>
    <w:rsid w:val="50424989"/>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C97C85"/>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2E5A45"/>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207C7F"/>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72FDA"/>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7E351C"/>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8E1F09"/>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CD2C3C"/>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75A86"/>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266905"/>
    <w:rsid w:val="6E3B5323"/>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B93CAC"/>
    <w:rsid w:val="6FB95193"/>
    <w:rsid w:val="6FE04DE1"/>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2E079E"/>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BE3B48"/>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4F3366"/>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BB3819"/>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CBC03"/>
  <w15:docId w15:val="{08684EEE-161F-4121-87AD-1BB262E7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lang w:val="en-US"/>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FollowedHyperlink"/>
    <w:basedOn w:val="a0"/>
    <w:uiPriority w:val="99"/>
    <w:semiHidden/>
    <w:unhideWhenUsed/>
    <w:qFormat/>
    <w:rPr>
      <w:color w:val="800080" w:themeColor="followedHyperlink"/>
      <w:u w:val="single"/>
    </w:rPr>
  </w:style>
  <w:style w:type="character" w:styleId="af7">
    <w:name w:val="Hyperlink"/>
    <w:basedOn w:val="a0"/>
    <w:uiPriority w:val="99"/>
    <w:qFormat/>
    <w:rPr>
      <w:color w:val="0000FF"/>
      <w:u w:val="single"/>
    </w:rPr>
  </w:style>
  <w:style w:type="character" w:styleId="af8">
    <w:name w:val="annotation reference"/>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lang w:val="en-US"/>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lang w:val="en-US"/>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rPr>
  </w:style>
  <w:style w:type="paragraph" w:customStyle="1" w:styleId="Revision2">
    <w:name w:val="Revision2"/>
    <w:hidden/>
    <w:uiPriority w:val="99"/>
    <w:unhideWhenUsed/>
    <w:qFormat/>
    <w:rPr>
      <w:kern w:val="2"/>
      <w:sz w:val="21"/>
      <w:lang w:val="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Guidance">
    <w:name w:val="Guidance"/>
    <w:basedOn w:val="a"/>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a"/>
    <w:link w:val="NOChar"/>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rPr>
  </w:style>
  <w:style w:type="paragraph" w:customStyle="1" w:styleId="32">
    <w:name w:val="修订3"/>
    <w:hidden/>
    <w:uiPriority w:val="99"/>
    <w:unhideWhenUsed/>
    <w:qFormat/>
    <w:rPr>
      <w:kern w:val="2"/>
      <w:sz w:val="21"/>
      <w:lang w:val="en-US"/>
    </w:rPr>
  </w:style>
  <w:style w:type="paragraph" w:customStyle="1" w:styleId="12">
    <w:name w:val="列出段落1"/>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table" w:customStyle="1" w:styleId="TableGrid1">
    <w:name w:val="Table Grid1"/>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paragraph" w:customStyle="1" w:styleId="EX">
    <w:name w:val="EX"/>
    <w:basedOn w:val="a"/>
    <w:qFormat/>
    <w:pPr>
      <w:keepLines/>
      <w:ind w:left="1702" w:hanging="1418"/>
    </w:pPr>
  </w:style>
  <w:style w:type="character" w:customStyle="1" w:styleId="NOChar">
    <w:name w:val="NO Char"/>
    <w:link w:val="NO"/>
    <w:rPr>
      <w:rFonts w:eastAsia="Times New Roman"/>
      <w:lang w:val="en-GB" w:eastAsia="en-GB"/>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EditorsNoteChar">
    <w:name w:val="Editor's Note Char"/>
    <w:link w:val="EditorsNote"/>
    <w:qFormat/>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5BB260-9F48-40FC-BB42-2A2D631C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2435</Words>
  <Characters>13882</Characters>
  <Application>Microsoft Office Word</Application>
  <DocSecurity>0</DocSecurity>
  <Lines>115</Lines>
  <Paragraphs>32</Paragraphs>
  <ScaleCrop>false</ScaleCrop>
  <Company>HP Inc.</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2024-12-03T15:22:00Z</dcterms:created>
  <dcterms:modified xsi:type="dcterms:W3CDTF">2024-12-03T15:22:00Z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1654D731205846179BA1D054A0912BD9</vt:lpwstr>
  </property>
</Properties>
</file>